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417C37" w:rsidRPr="00A75597" w14:paraId="07776CD1" w14:textId="77777777" w:rsidTr="00967422">
        <w:trPr>
          <w:trHeight w:val="1833"/>
        </w:trPr>
        <w:tc>
          <w:tcPr>
            <w:tcW w:w="9016" w:type="dxa"/>
          </w:tcPr>
          <w:p w14:paraId="4972EAB1" w14:textId="77777777" w:rsidR="00967422" w:rsidRDefault="001B5480" w:rsidP="00967422">
            <w:pPr>
              <w:rPr>
                <w:rFonts w:cstheme="minorHAnsi"/>
                <w:b/>
                <w:sz w:val="36"/>
              </w:rPr>
            </w:pPr>
            <w:r>
              <w:rPr>
                <w:rFonts w:cstheme="minorHAnsi"/>
                <w:noProof/>
                <w:sz w:val="36"/>
                <w:lang w:eastAsia="en-GB"/>
              </w:rPr>
              <w:drawing>
                <wp:anchor distT="0" distB="0" distL="114300" distR="114300" simplePos="0" relativeHeight="251658240" behindDoc="0" locked="0" layoutInCell="1" allowOverlap="1" wp14:anchorId="28881CED" wp14:editId="08CA68F9">
                  <wp:simplePos x="0" y="0"/>
                  <wp:positionH relativeFrom="column">
                    <wp:posOffset>2842895</wp:posOffset>
                  </wp:positionH>
                  <wp:positionV relativeFrom="paragraph">
                    <wp:posOffset>50800</wp:posOffset>
                  </wp:positionV>
                  <wp:extent cx="2762250" cy="1078786"/>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UK hi-res primary logo WHITE background (002).jpg"/>
                          <pic:cNvPicPr/>
                        </pic:nvPicPr>
                        <pic:blipFill rotWithShape="1">
                          <a:blip r:embed="rId6">
                            <a:extLst>
                              <a:ext uri="{28A0092B-C50C-407E-A947-70E740481C1C}">
                                <a14:useLocalDpi xmlns:a14="http://schemas.microsoft.com/office/drawing/2010/main" val="0"/>
                              </a:ext>
                            </a:extLst>
                          </a:blip>
                          <a:srcRect l="14595" t="31594" r="10665" b="29484"/>
                          <a:stretch/>
                        </pic:blipFill>
                        <pic:spPr bwMode="auto">
                          <a:xfrm>
                            <a:off x="0" y="0"/>
                            <a:ext cx="2762250" cy="107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2625D" w14:textId="77777777" w:rsidR="00967422" w:rsidRPr="00967422" w:rsidRDefault="000A13BC" w:rsidP="00967422">
            <w:pPr>
              <w:rPr>
                <w:rFonts w:cstheme="minorHAnsi"/>
                <w:sz w:val="36"/>
              </w:rPr>
            </w:pPr>
            <w:r>
              <w:rPr>
                <w:rFonts w:cstheme="minorHAnsi"/>
                <w:b/>
                <w:sz w:val="36"/>
              </w:rPr>
              <w:t>Outcome Adjudication</w:t>
            </w:r>
          </w:p>
          <w:p w14:paraId="68A4705C" w14:textId="77777777" w:rsidR="00967422" w:rsidRPr="00967422" w:rsidRDefault="00A95E37" w:rsidP="000A13BC">
            <w:pPr>
              <w:rPr>
                <w:rFonts w:cstheme="minorHAnsi"/>
                <w:sz w:val="36"/>
              </w:rPr>
            </w:pPr>
            <w:r w:rsidRPr="00967422">
              <w:rPr>
                <w:rFonts w:cstheme="minorHAnsi"/>
                <w:sz w:val="36"/>
              </w:rPr>
              <w:t>Work P</w:t>
            </w:r>
            <w:r w:rsidR="00415E03">
              <w:rPr>
                <w:rFonts w:cstheme="minorHAnsi"/>
                <w:sz w:val="36"/>
              </w:rPr>
              <w:t xml:space="preserve">ackage </w:t>
            </w:r>
            <w:r w:rsidR="000A13BC">
              <w:rPr>
                <w:rFonts w:cstheme="minorHAnsi"/>
                <w:sz w:val="36"/>
              </w:rPr>
              <w:t>9</w:t>
            </w:r>
            <w:r w:rsidR="00967422">
              <w:rPr>
                <w:rFonts w:cstheme="minorHAnsi"/>
              </w:rPr>
              <w:tab/>
            </w:r>
          </w:p>
        </w:tc>
      </w:tr>
      <w:tr w:rsidR="009A0D0C" w:rsidRPr="00A75597" w14:paraId="1CC57033" w14:textId="77777777" w:rsidTr="009A0D0C">
        <w:tc>
          <w:tcPr>
            <w:tcW w:w="9016" w:type="dxa"/>
            <w:shd w:val="clear" w:color="auto" w:fill="D0CECE" w:themeFill="background2" w:themeFillShade="E6"/>
          </w:tcPr>
          <w:p w14:paraId="0B9636EA" w14:textId="77777777" w:rsidR="009A0D0C" w:rsidRPr="00A75597" w:rsidRDefault="00967422" w:rsidP="00417C37">
            <w:pPr>
              <w:rPr>
                <w:rFonts w:cstheme="minorHAnsi"/>
                <w:noProof/>
                <w:lang w:eastAsia="en-GB"/>
              </w:rPr>
            </w:pPr>
            <w:r w:rsidRPr="00A75597">
              <w:rPr>
                <w:rFonts w:cstheme="minorHAnsi"/>
                <w:b/>
              </w:rPr>
              <w:t>Objective(s)</w:t>
            </w:r>
            <w:r w:rsidRPr="00A75597">
              <w:rPr>
                <w:rFonts w:cstheme="minorHAnsi"/>
              </w:rPr>
              <w:t>:</w:t>
            </w:r>
          </w:p>
        </w:tc>
      </w:tr>
      <w:tr w:rsidR="00417C37" w:rsidRPr="00A75597" w14:paraId="53FA352A" w14:textId="77777777" w:rsidTr="004F391C">
        <w:trPr>
          <w:trHeight w:val="547"/>
        </w:trPr>
        <w:tc>
          <w:tcPr>
            <w:tcW w:w="9016" w:type="dxa"/>
          </w:tcPr>
          <w:p w14:paraId="5D6E090D" w14:textId="77777777" w:rsidR="00324412" w:rsidRDefault="00324412" w:rsidP="000A13BC">
            <w:pPr>
              <w:spacing w:before="42" w:line="226" w:lineRule="exact"/>
              <w:textAlignment w:val="baseline"/>
              <w:rPr>
                <w:rFonts w:ascii="Calibri" w:eastAsia="Calibri" w:hAnsi="Calibri"/>
                <w:color w:val="000000"/>
              </w:rPr>
            </w:pPr>
          </w:p>
          <w:p w14:paraId="615E1E39" w14:textId="77777777" w:rsidR="000A13BC" w:rsidRPr="00171E37" w:rsidRDefault="000A13BC" w:rsidP="000A13BC">
            <w:pPr>
              <w:spacing w:before="42" w:line="226" w:lineRule="exact"/>
              <w:textAlignment w:val="baseline"/>
              <w:rPr>
                <w:rFonts w:ascii="Calibri" w:eastAsia="Calibri" w:hAnsi="Calibri"/>
                <w:color w:val="000000"/>
              </w:rPr>
            </w:pPr>
            <w:r w:rsidRPr="00171E37">
              <w:rPr>
                <w:rFonts w:ascii="Calibri" w:eastAsia="Calibri" w:hAnsi="Calibri"/>
                <w:color w:val="000000"/>
              </w:rPr>
              <w:t xml:space="preserve">To develop methods for dementia case identification at scale using the </w:t>
            </w:r>
            <w:r>
              <w:rPr>
                <w:rFonts w:ascii="Calibri" w:eastAsia="Calibri" w:hAnsi="Calibri"/>
                <w:color w:val="000000"/>
              </w:rPr>
              <w:t xml:space="preserve">data related to the </w:t>
            </w:r>
            <w:r w:rsidRPr="00171E37">
              <w:rPr>
                <w:rFonts w:ascii="Calibri" w:eastAsia="Calibri" w:hAnsi="Calibri"/>
                <w:color w:val="000000"/>
              </w:rPr>
              <w:t>UK</w:t>
            </w:r>
            <w:r>
              <w:rPr>
                <w:rFonts w:ascii="Calibri" w:eastAsia="Calibri" w:hAnsi="Calibri"/>
                <w:color w:val="000000"/>
              </w:rPr>
              <w:t xml:space="preserve"> </w:t>
            </w:r>
            <w:r w:rsidRPr="00171E37">
              <w:rPr>
                <w:rFonts w:ascii="Calibri" w:eastAsia="Calibri" w:hAnsi="Calibri"/>
                <w:color w:val="000000"/>
              </w:rPr>
              <w:t>B</w:t>
            </w:r>
            <w:r>
              <w:rPr>
                <w:rFonts w:ascii="Calibri" w:eastAsia="Calibri" w:hAnsi="Calibri"/>
                <w:color w:val="000000"/>
              </w:rPr>
              <w:t>iobank (UKB)</w:t>
            </w:r>
            <w:r w:rsidRPr="00171E37">
              <w:rPr>
                <w:rFonts w:ascii="Calibri" w:eastAsia="Calibri" w:hAnsi="Calibri"/>
                <w:color w:val="000000"/>
              </w:rPr>
              <w:t xml:space="preserve"> cohort and produce an online system for remote classification.</w:t>
            </w:r>
          </w:p>
          <w:p w14:paraId="72BA5D20" w14:textId="77777777" w:rsidR="000A13BC" w:rsidRPr="00171E37" w:rsidRDefault="000A13BC" w:rsidP="000A13BC">
            <w:pPr>
              <w:spacing w:before="43" w:line="226" w:lineRule="exact"/>
              <w:textAlignment w:val="baseline"/>
              <w:rPr>
                <w:rFonts w:ascii="Calibri" w:eastAsia="Calibri" w:hAnsi="Calibri"/>
                <w:color w:val="000000"/>
              </w:rPr>
            </w:pPr>
            <w:r>
              <w:rPr>
                <w:rFonts w:ascii="Calibri" w:eastAsia="Calibri" w:hAnsi="Calibri"/>
                <w:color w:val="000000"/>
              </w:rPr>
              <w:t>The m</w:t>
            </w:r>
            <w:r w:rsidRPr="00171E37">
              <w:rPr>
                <w:rFonts w:ascii="Calibri" w:eastAsia="Calibri" w:hAnsi="Calibri"/>
                <w:color w:val="000000"/>
              </w:rPr>
              <w:t xml:space="preserve">ethods </w:t>
            </w:r>
            <w:r>
              <w:rPr>
                <w:rFonts w:ascii="Calibri" w:eastAsia="Calibri" w:hAnsi="Calibri"/>
                <w:color w:val="000000"/>
              </w:rPr>
              <w:t xml:space="preserve">were to be validated </w:t>
            </w:r>
            <w:r w:rsidRPr="00171E37">
              <w:rPr>
                <w:rFonts w:ascii="Calibri" w:eastAsia="Calibri" w:hAnsi="Calibri"/>
                <w:color w:val="000000"/>
              </w:rPr>
              <w:t>using UKB and other DPUK cohorts</w:t>
            </w:r>
            <w:r>
              <w:rPr>
                <w:rFonts w:ascii="Calibri" w:eastAsia="Calibri" w:hAnsi="Calibri"/>
                <w:color w:val="000000"/>
              </w:rPr>
              <w:t xml:space="preserve"> and more specific objectives were to:</w:t>
            </w:r>
          </w:p>
          <w:p w14:paraId="72938E75" w14:textId="77777777" w:rsidR="000A13BC" w:rsidRPr="00171E37" w:rsidRDefault="000A13BC" w:rsidP="000A13BC">
            <w:pPr>
              <w:pStyle w:val="ListParagraph"/>
              <w:numPr>
                <w:ilvl w:val="0"/>
                <w:numId w:val="2"/>
              </w:numPr>
              <w:tabs>
                <w:tab w:val="left" w:pos="504"/>
              </w:tabs>
              <w:spacing w:after="24" w:line="268" w:lineRule="exact"/>
              <w:ind w:right="1044"/>
              <w:textAlignment w:val="baseline"/>
              <w:rPr>
                <w:rFonts w:ascii="Calibri" w:eastAsia="Calibri" w:hAnsi="Calibri"/>
                <w:color w:val="000000"/>
              </w:rPr>
            </w:pPr>
            <w:r w:rsidRPr="00171E37">
              <w:rPr>
                <w:rFonts w:ascii="Calibri" w:eastAsia="Calibri" w:hAnsi="Calibri"/>
                <w:color w:val="000000"/>
              </w:rPr>
              <w:t>Provide up-to-date assessments of the accuracy of routine data sources for dementia, P</w:t>
            </w:r>
            <w:r>
              <w:rPr>
                <w:rFonts w:ascii="Calibri" w:eastAsia="Calibri" w:hAnsi="Calibri"/>
                <w:color w:val="000000"/>
              </w:rPr>
              <w:t xml:space="preserve">arkinson’s </w:t>
            </w:r>
            <w:r w:rsidRPr="00171E37">
              <w:rPr>
                <w:rFonts w:ascii="Calibri" w:eastAsia="Calibri" w:hAnsi="Calibri"/>
                <w:color w:val="000000"/>
              </w:rPr>
              <w:t>D</w:t>
            </w:r>
            <w:r>
              <w:rPr>
                <w:rFonts w:ascii="Calibri" w:eastAsia="Calibri" w:hAnsi="Calibri"/>
                <w:color w:val="000000"/>
              </w:rPr>
              <w:t>isease (PD)</w:t>
            </w:r>
            <w:r w:rsidRPr="00171E37">
              <w:rPr>
                <w:rFonts w:ascii="Calibri" w:eastAsia="Calibri" w:hAnsi="Calibri"/>
                <w:color w:val="000000"/>
              </w:rPr>
              <w:t xml:space="preserve"> and motor neurone disease (MND) outcomes</w:t>
            </w:r>
          </w:p>
          <w:p w14:paraId="21CD05D5" w14:textId="77777777" w:rsidR="000A13BC" w:rsidRPr="00171E37" w:rsidRDefault="000A13BC" w:rsidP="000A13BC">
            <w:pPr>
              <w:numPr>
                <w:ilvl w:val="0"/>
                <w:numId w:val="2"/>
              </w:numPr>
              <w:tabs>
                <w:tab w:val="left" w:pos="504"/>
              </w:tabs>
              <w:spacing w:before="47" w:line="227" w:lineRule="exact"/>
              <w:textAlignment w:val="baseline"/>
              <w:rPr>
                <w:rFonts w:ascii="Calibri" w:eastAsia="Calibri" w:hAnsi="Calibri"/>
                <w:color w:val="000000"/>
              </w:rPr>
            </w:pPr>
            <w:r w:rsidRPr="00171E37">
              <w:rPr>
                <w:rFonts w:ascii="Calibri" w:eastAsia="Calibri" w:hAnsi="Calibri"/>
                <w:color w:val="000000"/>
              </w:rPr>
              <w:t>Develop algorithms based on routine data sources for ascertaining, confirming and sub-classifying these outcomes</w:t>
            </w:r>
          </w:p>
          <w:p w14:paraId="51658270" w14:textId="77777777" w:rsidR="000A13BC" w:rsidRDefault="000A13BC" w:rsidP="000A13BC">
            <w:pPr>
              <w:numPr>
                <w:ilvl w:val="0"/>
                <w:numId w:val="2"/>
              </w:numPr>
              <w:tabs>
                <w:tab w:val="left" w:pos="504"/>
              </w:tabs>
              <w:spacing w:before="42" w:line="226" w:lineRule="exact"/>
              <w:textAlignment w:val="baseline"/>
              <w:rPr>
                <w:rFonts w:ascii="Calibri" w:eastAsia="Calibri" w:hAnsi="Calibri"/>
                <w:color w:val="000000"/>
              </w:rPr>
            </w:pPr>
            <w:r w:rsidRPr="00171E37">
              <w:rPr>
                <w:rFonts w:ascii="Calibri" w:eastAsia="Calibri" w:hAnsi="Calibri"/>
                <w:color w:val="000000"/>
              </w:rPr>
              <w:t>Develop protocols for remote confirmation and sub-classification using an online system</w:t>
            </w:r>
          </w:p>
          <w:p w14:paraId="3E49D628" w14:textId="77777777" w:rsidR="00967422" w:rsidRPr="000A13BC" w:rsidRDefault="000A13BC" w:rsidP="000A13BC">
            <w:pPr>
              <w:numPr>
                <w:ilvl w:val="0"/>
                <w:numId w:val="2"/>
              </w:numPr>
              <w:tabs>
                <w:tab w:val="left" w:pos="504"/>
              </w:tabs>
              <w:spacing w:before="42" w:line="226" w:lineRule="exact"/>
              <w:textAlignment w:val="baseline"/>
              <w:rPr>
                <w:rFonts w:ascii="Calibri" w:eastAsia="Calibri" w:hAnsi="Calibri"/>
                <w:color w:val="000000"/>
              </w:rPr>
            </w:pPr>
            <w:r w:rsidRPr="000A13BC">
              <w:rPr>
                <w:rFonts w:ascii="Calibri" w:eastAsia="Calibri" w:hAnsi="Calibri"/>
                <w:color w:val="000000"/>
              </w:rPr>
              <w:t>Apply these protocols for adjudication (i.e. confirmation according to standard criteria) the dementia, PD and MND outcomes occurring in UKB and other cohorts</w:t>
            </w:r>
          </w:p>
          <w:p w14:paraId="31A9A3B5" w14:textId="77777777" w:rsidR="00967422" w:rsidRPr="0027513E" w:rsidRDefault="00967422" w:rsidP="0027513E">
            <w:pPr>
              <w:rPr>
                <w:rFonts w:cstheme="minorHAnsi"/>
              </w:rPr>
            </w:pPr>
          </w:p>
        </w:tc>
      </w:tr>
      <w:tr w:rsidR="009A0D0C" w:rsidRPr="00A75597" w14:paraId="7B54278B" w14:textId="77777777" w:rsidTr="009A0D0C">
        <w:trPr>
          <w:trHeight w:val="295"/>
        </w:trPr>
        <w:tc>
          <w:tcPr>
            <w:tcW w:w="9016" w:type="dxa"/>
            <w:shd w:val="clear" w:color="auto" w:fill="D0CECE" w:themeFill="background2" w:themeFillShade="E6"/>
          </w:tcPr>
          <w:p w14:paraId="40D66101" w14:textId="77777777" w:rsidR="009A0D0C" w:rsidRPr="00A75597" w:rsidRDefault="00967422">
            <w:pPr>
              <w:rPr>
                <w:rFonts w:cstheme="minorHAnsi"/>
              </w:rPr>
            </w:pPr>
            <w:r w:rsidRPr="00A75597">
              <w:rPr>
                <w:rFonts w:cstheme="minorHAnsi"/>
                <w:b/>
              </w:rPr>
              <w:t>Overview Summary:</w:t>
            </w:r>
          </w:p>
        </w:tc>
      </w:tr>
      <w:tr w:rsidR="00335192" w:rsidRPr="00A75597" w14:paraId="47ED7A67" w14:textId="77777777" w:rsidTr="004F391C">
        <w:trPr>
          <w:trHeight w:val="547"/>
        </w:trPr>
        <w:tc>
          <w:tcPr>
            <w:tcW w:w="9016" w:type="dxa"/>
          </w:tcPr>
          <w:p w14:paraId="667E0AF0" w14:textId="77777777" w:rsidR="00324412" w:rsidRDefault="00324412" w:rsidP="00324412"/>
          <w:p w14:paraId="0C767461" w14:textId="730B1A7F" w:rsidR="00967422" w:rsidRDefault="00324412" w:rsidP="00324412">
            <w:r>
              <w:t xml:space="preserve">This work </w:t>
            </w:r>
            <w:r w:rsidRPr="00324412">
              <w:t>investigated the accuracy of using routinely-collected primary care, hospital admissions and mortality datasets to identify dementia, motor neurone disease (MND) or Parkinson’s disease (PD) cases. Systematic reviews on the accuracy of these datasets for dementia</w:t>
            </w:r>
            <w:r>
              <w:t>,</w:t>
            </w:r>
            <w:r w:rsidRPr="00324412">
              <w:t xml:space="preserve"> MND and PD were published. These reviews summarised the findings of existing validation studies, and identified gaps in current knowledge, particularly with respect to a UK setting. Following on from this, a validation study of UK primary care, hospital admissions and mortality datasets was conducted using data from </w:t>
            </w:r>
            <w:hyperlink r:id="rId7" w:history="1">
              <w:r w:rsidRPr="00324412">
                <w:rPr>
                  <w:rStyle w:val="Hyperlink"/>
                  <w:rFonts w:cstheme="minorHAnsi"/>
                </w:rPr>
                <w:t>UK Biobank</w:t>
              </w:r>
            </w:hyperlink>
            <w:r w:rsidRPr="00324412">
              <w:t xml:space="preserve"> In this study, coded diagnoses from routine datasets were compared to the full text medical record, leading to the identification of algorithms that can be employed by UK cohorts to identify participants who develop dementia during follow up. UK Biobank has used these findings to provide derived dementia outcome variables for researchers, thereby facilitating dementia research using the resource. These algorithms were made freely available to the </w:t>
            </w:r>
            <w:r w:rsidRPr="00324412">
              <w:lastRenderedPageBreak/>
              <w:t>research community (as the publications are Open Access) enabling other UK cohorts to adopt this approach to dementia case identification. Similar approaches have been used for Parkinson’s Disease ascertainment.</w:t>
            </w:r>
          </w:p>
          <w:p w14:paraId="0C0461C4" w14:textId="77777777" w:rsidR="00CF6C94" w:rsidRDefault="00CF6C94" w:rsidP="00324412"/>
          <w:p w14:paraId="714B9D1C" w14:textId="7CD734ED" w:rsidR="00CF6C94" w:rsidRPr="00CF6C94" w:rsidRDefault="00CF6C94" w:rsidP="00324412">
            <w:pPr>
              <w:rPr>
                <w:rFonts w:cstheme="minorHAnsi"/>
              </w:rPr>
            </w:pPr>
            <w:r w:rsidRPr="00CF6C94">
              <w:rPr>
                <w:rFonts w:cstheme="minorHAnsi"/>
              </w:rPr>
              <w:t>A separate project from the same group, with collaborators at Swansea University, has used routinely-collected healthcare data to create an electronic cohort (e-cohort) for dementia research. Utilising the SAIL Databank (https://saildatabank.com/), this e-cohort contains data for 1.2 million people, of whom 130,000 developed dementia during follow-up.  Access to the e-cohort is facilitated through DPUK</w:t>
            </w:r>
          </w:p>
          <w:p w14:paraId="375B62E3" w14:textId="77777777" w:rsidR="00324412" w:rsidRPr="00324412" w:rsidRDefault="00324412" w:rsidP="00324412"/>
        </w:tc>
      </w:tr>
      <w:tr w:rsidR="00967422" w:rsidRPr="00A75597" w14:paraId="78FF2D0D" w14:textId="77777777" w:rsidTr="002957BD">
        <w:trPr>
          <w:trHeight w:val="295"/>
        </w:trPr>
        <w:tc>
          <w:tcPr>
            <w:tcW w:w="9016" w:type="dxa"/>
            <w:shd w:val="clear" w:color="auto" w:fill="D0CECE" w:themeFill="background2" w:themeFillShade="E6"/>
          </w:tcPr>
          <w:p w14:paraId="7C7D9662" w14:textId="77777777" w:rsidR="00967422" w:rsidRPr="00A75597" w:rsidRDefault="00967422" w:rsidP="002957BD">
            <w:pPr>
              <w:rPr>
                <w:rFonts w:cstheme="minorHAnsi"/>
              </w:rPr>
            </w:pPr>
            <w:r>
              <w:rPr>
                <w:rFonts w:cstheme="minorHAnsi"/>
                <w:b/>
              </w:rPr>
              <w:lastRenderedPageBreak/>
              <w:t>Executive</w:t>
            </w:r>
            <w:r w:rsidRPr="00A75597">
              <w:rPr>
                <w:rFonts w:cstheme="minorHAnsi"/>
                <w:b/>
              </w:rPr>
              <w:t xml:space="preserve"> Summary:</w:t>
            </w:r>
          </w:p>
        </w:tc>
      </w:tr>
      <w:tr w:rsidR="00267A03" w:rsidRPr="00A75597" w14:paraId="4EB418FC" w14:textId="77777777" w:rsidTr="004F391C">
        <w:trPr>
          <w:trHeight w:val="547"/>
        </w:trPr>
        <w:tc>
          <w:tcPr>
            <w:tcW w:w="9016" w:type="dxa"/>
          </w:tcPr>
          <w:p w14:paraId="70704AE0" w14:textId="77777777" w:rsidR="00324412" w:rsidRDefault="00324412" w:rsidP="00324412"/>
          <w:p w14:paraId="162607C4" w14:textId="5B17A8D7" w:rsidR="00030CEC" w:rsidRPr="00171E37" w:rsidRDefault="00030CEC" w:rsidP="00030CEC">
            <w:pPr>
              <w:rPr>
                <w:rFonts w:cstheme="minorHAnsi"/>
                <w:bCs/>
              </w:rPr>
            </w:pPr>
            <w:r>
              <w:rPr>
                <w:rFonts w:cstheme="minorHAnsi"/>
                <w:bCs/>
              </w:rPr>
              <w:t xml:space="preserve">The aim of this work </w:t>
            </w:r>
            <w:r w:rsidRPr="00171E37">
              <w:rPr>
                <w:rFonts w:cstheme="minorHAnsi"/>
                <w:bCs/>
              </w:rPr>
              <w:t>was to develop methods for accurately identifying neurodegenerative conditions including dementia, motor neurone disease (MND) and Parkinson’s disease (PD) at scale within UK cohorts, using UK Biobank as an exemplar. The main objectives were:</w:t>
            </w:r>
          </w:p>
          <w:p w14:paraId="4C0494C3" w14:textId="19A40BC3" w:rsidR="00030CEC" w:rsidRPr="00171E37" w:rsidRDefault="00030CEC" w:rsidP="00030CEC">
            <w:pPr>
              <w:rPr>
                <w:rFonts w:cstheme="minorHAnsi"/>
                <w:bCs/>
              </w:rPr>
            </w:pPr>
            <w:r w:rsidRPr="00171E37">
              <w:rPr>
                <w:rFonts w:cstheme="minorHAnsi"/>
                <w:bCs/>
              </w:rPr>
              <w:t>Objective 1.</w:t>
            </w:r>
            <w:r w:rsidRPr="00171E37">
              <w:rPr>
                <w:rFonts w:cstheme="minorHAnsi"/>
                <w:bCs/>
              </w:rPr>
              <w:tab/>
              <w:t>Provide up-to-date assessments of the acc</w:t>
            </w:r>
            <w:r>
              <w:rPr>
                <w:rFonts w:cstheme="minorHAnsi"/>
                <w:bCs/>
              </w:rPr>
              <w:t xml:space="preserve">uracy of routine data sources  </w:t>
            </w:r>
            <w:r w:rsidRPr="00171E37">
              <w:rPr>
                <w:rFonts w:cstheme="minorHAnsi"/>
                <w:bCs/>
              </w:rPr>
              <w:t xml:space="preserve">for dementia, PD and </w:t>
            </w:r>
            <w:r>
              <w:rPr>
                <w:rFonts w:cstheme="minorHAnsi"/>
                <w:bCs/>
              </w:rPr>
              <w:t>MND</w:t>
            </w:r>
            <w:r w:rsidRPr="00171E37">
              <w:rPr>
                <w:rFonts w:cstheme="minorHAnsi"/>
                <w:bCs/>
              </w:rPr>
              <w:t xml:space="preserve"> outcomes</w:t>
            </w:r>
          </w:p>
          <w:p w14:paraId="66CBDD45" w14:textId="77777777" w:rsidR="00030CEC" w:rsidRPr="00171E37" w:rsidRDefault="00030CEC" w:rsidP="00030CEC">
            <w:pPr>
              <w:rPr>
                <w:rFonts w:cstheme="minorHAnsi"/>
                <w:bCs/>
              </w:rPr>
            </w:pPr>
            <w:r w:rsidRPr="00171E37">
              <w:rPr>
                <w:rFonts w:cstheme="minorHAnsi"/>
                <w:bCs/>
              </w:rPr>
              <w:t>Objective 2.</w:t>
            </w:r>
            <w:r w:rsidRPr="00171E37">
              <w:rPr>
                <w:rFonts w:cstheme="minorHAnsi"/>
                <w:bCs/>
              </w:rPr>
              <w:tab/>
              <w:t>Develop algorithms based on routine data sources for ascertaining, confirming and sub-classifying these outcomes</w:t>
            </w:r>
          </w:p>
          <w:p w14:paraId="35F49781" w14:textId="77777777" w:rsidR="00030CEC" w:rsidRPr="00171E37" w:rsidRDefault="00030CEC" w:rsidP="00030CEC">
            <w:pPr>
              <w:rPr>
                <w:rFonts w:cstheme="minorHAnsi"/>
                <w:bCs/>
              </w:rPr>
            </w:pPr>
            <w:r w:rsidRPr="00171E37">
              <w:rPr>
                <w:rFonts w:cstheme="minorHAnsi"/>
                <w:bCs/>
              </w:rPr>
              <w:t>Objective 3.</w:t>
            </w:r>
            <w:r w:rsidRPr="00171E37">
              <w:rPr>
                <w:rFonts w:cstheme="minorHAnsi"/>
                <w:bCs/>
              </w:rPr>
              <w:tab/>
              <w:t>Develop protocols for remote confirmation and sub-classification using an online system</w:t>
            </w:r>
          </w:p>
          <w:p w14:paraId="0364F7E0" w14:textId="4563EC84" w:rsidR="00030CEC" w:rsidRDefault="00030CEC" w:rsidP="00030CEC">
            <w:pPr>
              <w:rPr>
                <w:rFonts w:cstheme="minorHAnsi"/>
                <w:bCs/>
              </w:rPr>
            </w:pPr>
            <w:r w:rsidRPr="00171E37">
              <w:rPr>
                <w:rFonts w:cstheme="minorHAnsi"/>
                <w:bCs/>
              </w:rPr>
              <w:t>Objective 4.</w:t>
            </w:r>
            <w:r w:rsidRPr="00171E37">
              <w:rPr>
                <w:rFonts w:cstheme="minorHAnsi"/>
                <w:bCs/>
              </w:rPr>
              <w:tab/>
              <w:t>Apply these protocols for adjudication (i.e. confirmation according to standard criteria) of the dementia, PD and MND outcomes occurring in UKB and other cohorts.</w:t>
            </w:r>
          </w:p>
          <w:p w14:paraId="25755208" w14:textId="20D8BAB9" w:rsidR="00030CEC" w:rsidRDefault="00030CEC" w:rsidP="00030CEC">
            <w:pPr>
              <w:rPr>
                <w:rFonts w:cstheme="minorHAnsi"/>
                <w:bCs/>
              </w:rPr>
            </w:pPr>
          </w:p>
          <w:p w14:paraId="041E7980" w14:textId="6ECEA3E0" w:rsidR="00030CEC" w:rsidRPr="00171E37" w:rsidRDefault="00030CEC" w:rsidP="00030CEC">
            <w:pPr>
              <w:rPr>
                <w:rFonts w:cstheme="minorHAnsi"/>
                <w:bCs/>
              </w:rPr>
            </w:pPr>
            <w:r w:rsidRPr="00171E37">
              <w:rPr>
                <w:rFonts w:cstheme="minorHAnsi"/>
                <w:bCs/>
              </w:rPr>
              <w:t>The work produced by the group was particularly important in showing that the coding of dementia and Parkinson’s Disease by General Practice is generally accurate and can be used to determine cases of these diseases</w:t>
            </w:r>
            <w:r>
              <w:rPr>
                <w:rFonts w:cstheme="minorHAnsi"/>
                <w:bCs/>
              </w:rPr>
              <w:t>.</w:t>
            </w:r>
          </w:p>
          <w:p w14:paraId="46809A81" w14:textId="77777777" w:rsidR="00967422" w:rsidRPr="00A75597" w:rsidRDefault="00967422" w:rsidP="00BE5091">
            <w:pPr>
              <w:rPr>
                <w:rFonts w:cstheme="minorHAnsi"/>
              </w:rPr>
            </w:pPr>
          </w:p>
        </w:tc>
      </w:tr>
      <w:tr w:rsidR="009A0D0C" w:rsidRPr="00A75597" w14:paraId="295E8377" w14:textId="77777777" w:rsidTr="00967422">
        <w:trPr>
          <w:trHeight w:val="169"/>
        </w:trPr>
        <w:tc>
          <w:tcPr>
            <w:tcW w:w="9016" w:type="dxa"/>
            <w:shd w:val="clear" w:color="auto" w:fill="D0CECE" w:themeFill="background2" w:themeFillShade="E6"/>
          </w:tcPr>
          <w:p w14:paraId="6E2F5861" w14:textId="77777777" w:rsidR="009A0D0C" w:rsidRPr="00A75597" w:rsidRDefault="00967422">
            <w:pPr>
              <w:rPr>
                <w:rFonts w:cstheme="minorHAnsi"/>
              </w:rPr>
            </w:pPr>
            <w:r w:rsidRPr="00A75597">
              <w:rPr>
                <w:rFonts w:cstheme="minorHAnsi"/>
                <w:b/>
              </w:rPr>
              <w:t>Summary of Outputs</w:t>
            </w:r>
            <w:r w:rsidRPr="00A75597">
              <w:rPr>
                <w:rFonts w:cstheme="minorHAnsi"/>
              </w:rPr>
              <w:t>:</w:t>
            </w:r>
            <w:r>
              <w:rPr>
                <w:rFonts w:cstheme="minorHAnsi"/>
              </w:rPr>
              <w:t xml:space="preserve"> </w:t>
            </w:r>
            <w:r w:rsidR="00143F6F">
              <w:rPr>
                <w:rFonts w:cstheme="minorHAnsi"/>
              </w:rPr>
              <w:t>(a</w:t>
            </w:r>
            <w:r w:rsidRPr="00A75597">
              <w:rPr>
                <w:rFonts w:cstheme="minorHAnsi"/>
              </w:rPr>
              <w:t>s per Researchfish categories)</w:t>
            </w:r>
          </w:p>
        </w:tc>
      </w:tr>
      <w:tr w:rsidR="00B75528" w:rsidRPr="00A75597" w14:paraId="005A8664" w14:textId="77777777" w:rsidTr="00CF0FA1">
        <w:tc>
          <w:tcPr>
            <w:tcW w:w="9016" w:type="dxa"/>
            <w:shd w:val="clear" w:color="auto" w:fill="D0CECE" w:themeFill="background2" w:themeFillShade="E6"/>
          </w:tcPr>
          <w:p w14:paraId="29E63A62" w14:textId="77777777" w:rsidR="00143F6F" w:rsidRPr="00CF0FA1" w:rsidRDefault="00CF0FA1" w:rsidP="00D45A11">
            <w:pPr>
              <w:rPr>
                <w:rFonts w:cstheme="minorHAnsi"/>
                <w:b/>
              </w:rPr>
            </w:pPr>
            <w:r w:rsidRPr="00CF0FA1">
              <w:rPr>
                <w:rFonts w:cstheme="minorHAnsi"/>
                <w:b/>
              </w:rPr>
              <w:t>Publications:</w:t>
            </w:r>
          </w:p>
        </w:tc>
      </w:tr>
      <w:tr w:rsidR="00CF0FA1" w:rsidRPr="00A75597" w14:paraId="24BFCA53" w14:textId="77777777" w:rsidTr="00E74179">
        <w:tc>
          <w:tcPr>
            <w:tcW w:w="9016" w:type="dxa"/>
          </w:tcPr>
          <w:p w14:paraId="6535C1F6" w14:textId="77777777" w:rsidR="0079713C" w:rsidRPr="00171E37" w:rsidRDefault="0079713C" w:rsidP="0079713C">
            <w:pPr>
              <w:numPr>
                <w:ilvl w:val="0"/>
                <w:numId w:val="5"/>
              </w:numPr>
              <w:tabs>
                <w:tab w:val="clear" w:pos="360"/>
                <w:tab w:val="left" w:pos="504"/>
              </w:tabs>
              <w:spacing w:before="2" w:line="265" w:lineRule="exact"/>
              <w:ind w:left="504" w:right="936" w:hanging="360"/>
              <w:textAlignment w:val="baseline"/>
              <w:rPr>
                <w:rFonts w:ascii="Calibri" w:eastAsia="Calibri" w:hAnsi="Calibri"/>
                <w:color w:val="000000"/>
              </w:rPr>
            </w:pPr>
            <w:r w:rsidRPr="00171E37">
              <w:rPr>
                <w:rFonts w:ascii="Calibri" w:eastAsia="Calibri" w:hAnsi="Calibri"/>
                <w:color w:val="000000"/>
              </w:rPr>
              <w:t xml:space="preserve">Horrocks S., et al. (2017) </w:t>
            </w:r>
            <w:r w:rsidRPr="00171E37">
              <w:rPr>
                <w:rFonts w:ascii="Calibri" w:eastAsia="Calibri" w:hAnsi="Calibri"/>
                <w:b/>
                <w:color w:val="000000"/>
              </w:rPr>
              <w:t xml:space="preserve">Accuracy of routinely collected healthcare data for identifying motor neurone disease cases: A systematic review. </w:t>
            </w:r>
            <w:r w:rsidRPr="00171E37">
              <w:rPr>
                <w:rFonts w:ascii="Calibri" w:eastAsia="Calibri" w:hAnsi="Calibri"/>
                <w:color w:val="000000"/>
              </w:rPr>
              <w:t>PLoS ONE 12(2): e0172639.</w:t>
            </w:r>
            <w:hyperlink r:id="rId8">
              <w:r w:rsidRPr="00171E37">
                <w:rPr>
                  <w:rFonts w:ascii="Calibri" w:eastAsia="Calibri" w:hAnsi="Calibri"/>
                  <w:color w:val="0000FF"/>
                  <w:u w:val="single"/>
                </w:rPr>
                <w:t xml:space="preserve"> https://doi.org/10.1371/journal.pone.0172639</w:t>
              </w:r>
            </w:hyperlink>
            <w:r w:rsidRPr="00171E37">
              <w:rPr>
                <w:rFonts w:ascii="Calibri" w:eastAsia="Calibri" w:hAnsi="Calibri"/>
                <w:color w:val="0462C1"/>
              </w:rPr>
              <w:t xml:space="preserve"> </w:t>
            </w:r>
          </w:p>
          <w:p w14:paraId="5A5EE0CB" w14:textId="75ACA011" w:rsidR="0079713C" w:rsidRPr="00171E37" w:rsidRDefault="0079713C" w:rsidP="0079713C">
            <w:pPr>
              <w:spacing w:line="268" w:lineRule="exact"/>
              <w:ind w:left="144" w:right="324"/>
              <w:textAlignment w:val="baseline"/>
              <w:rPr>
                <w:rFonts w:ascii="Calibri" w:eastAsia="Calibri" w:hAnsi="Calibri"/>
                <w:i/>
                <w:color w:val="000000"/>
              </w:rPr>
            </w:pPr>
            <w:r w:rsidRPr="00171E37">
              <w:rPr>
                <w:rFonts w:ascii="Calibri" w:eastAsia="Calibri" w:hAnsi="Calibri"/>
                <w:i/>
                <w:color w:val="000000"/>
              </w:rPr>
              <w:lastRenderedPageBreak/>
              <w:t xml:space="preserve">In this novel systematic review, </w:t>
            </w:r>
            <w:r>
              <w:rPr>
                <w:rFonts w:ascii="Calibri" w:eastAsia="Calibri" w:hAnsi="Calibri"/>
                <w:i/>
                <w:color w:val="000000"/>
              </w:rPr>
              <w:t>the team</w:t>
            </w:r>
            <w:r w:rsidRPr="00171E37">
              <w:rPr>
                <w:rFonts w:ascii="Calibri" w:eastAsia="Calibri" w:hAnsi="Calibri"/>
                <w:i/>
                <w:color w:val="000000"/>
              </w:rPr>
              <w:t xml:space="preserve"> summarised evidence from validation studies that used routine datasets to identify motor neurone disease cases, allowing researchers around the world who are using these datasets to understand their accuracy. This work also identified gaps in knowledge, indicating where further validation research is required.</w:t>
            </w:r>
          </w:p>
          <w:p w14:paraId="04E2B134" w14:textId="77777777" w:rsidR="0079713C" w:rsidRPr="00171E37" w:rsidRDefault="0079713C" w:rsidP="0079713C">
            <w:pPr>
              <w:numPr>
                <w:ilvl w:val="0"/>
                <w:numId w:val="5"/>
              </w:numPr>
              <w:tabs>
                <w:tab w:val="clear" w:pos="360"/>
                <w:tab w:val="left" w:pos="504"/>
              </w:tabs>
              <w:spacing w:before="45" w:line="238" w:lineRule="exact"/>
              <w:ind w:left="504" w:hanging="360"/>
              <w:textAlignment w:val="baseline"/>
              <w:rPr>
                <w:rFonts w:ascii="Calibri" w:eastAsia="Calibri" w:hAnsi="Calibri"/>
                <w:color w:val="000000"/>
              </w:rPr>
            </w:pPr>
            <w:r w:rsidRPr="00171E37">
              <w:rPr>
                <w:rFonts w:ascii="Calibri" w:eastAsia="Calibri" w:hAnsi="Calibri"/>
                <w:color w:val="000000"/>
              </w:rPr>
              <w:t xml:space="preserve">Wilkinson T., et al. </w:t>
            </w:r>
            <w:r w:rsidRPr="00171E37">
              <w:rPr>
                <w:rFonts w:ascii="Calibri" w:eastAsia="Calibri" w:hAnsi="Calibri"/>
                <w:b/>
                <w:color w:val="000000"/>
              </w:rPr>
              <w:t xml:space="preserve">Identifying dementia cases with routinely collected health data: a systematic review. </w:t>
            </w:r>
            <w:r w:rsidRPr="00171E37">
              <w:rPr>
                <w:rFonts w:ascii="Calibri" w:eastAsia="Calibri" w:hAnsi="Calibri"/>
                <w:color w:val="000000"/>
              </w:rPr>
              <w:t>Alzheimer’s Dement. 2018 Aug;14(8):1038–51.</w:t>
            </w:r>
          </w:p>
          <w:p w14:paraId="07B4C91F" w14:textId="034929BA" w:rsidR="0079713C" w:rsidRPr="00171E37" w:rsidRDefault="0079713C" w:rsidP="0079713C">
            <w:pPr>
              <w:spacing w:before="2" w:line="268" w:lineRule="exact"/>
              <w:ind w:left="144" w:right="396"/>
              <w:textAlignment w:val="baseline"/>
              <w:rPr>
                <w:rFonts w:ascii="Calibri" w:eastAsia="Calibri" w:hAnsi="Calibri"/>
                <w:i/>
                <w:color w:val="000000"/>
              </w:rPr>
            </w:pPr>
            <w:r>
              <w:rPr>
                <w:rFonts w:ascii="Calibri" w:eastAsia="Calibri" w:hAnsi="Calibri"/>
                <w:i/>
                <w:color w:val="000000"/>
              </w:rPr>
              <w:t>The team</w:t>
            </w:r>
            <w:r w:rsidRPr="00171E37">
              <w:rPr>
                <w:rFonts w:ascii="Calibri" w:eastAsia="Calibri" w:hAnsi="Calibri"/>
                <w:i/>
                <w:color w:val="000000"/>
              </w:rPr>
              <w:t xml:space="preserve"> systematically reviewed the international literature on the accuracy of using routine datasets to identify dementia cases - a previously unaddressed area of evidence synthesis. </w:t>
            </w:r>
            <w:r>
              <w:rPr>
                <w:rFonts w:ascii="Calibri" w:eastAsia="Calibri" w:hAnsi="Calibri"/>
                <w:i/>
                <w:color w:val="000000"/>
              </w:rPr>
              <w:t xml:space="preserve">It </w:t>
            </w:r>
            <w:r w:rsidRPr="00171E37">
              <w:rPr>
                <w:rFonts w:ascii="Calibri" w:eastAsia="Calibri" w:hAnsi="Calibri"/>
                <w:i/>
                <w:color w:val="000000"/>
              </w:rPr>
              <w:t>identified high accuracy datasets suitable for dementia research and highlighted areas requiring further research, advising cohorts to conduct validation studies where such gaps exist.</w:t>
            </w:r>
          </w:p>
          <w:p w14:paraId="3D946AB3" w14:textId="77777777" w:rsidR="0079713C" w:rsidRPr="00171E37" w:rsidRDefault="0079713C" w:rsidP="0079713C">
            <w:pPr>
              <w:numPr>
                <w:ilvl w:val="0"/>
                <w:numId w:val="5"/>
              </w:numPr>
              <w:tabs>
                <w:tab w:val="clear" w:pos="360"/>
                <w:tab w:val="left" w:pos="504"/>
              </w:tabs>
              <w:spacing w:before="8" w:line="268" w:lineRule="exact"/>
              <w:ind w:left="504" w:right="108" w:hanging="360"/>
              <w:textAlignment w:val="baseline"/>
              <w:rPr>
                <w:rFonts w:ascii="Calibri" w:eastAsia="Calibri" w:hAnsi="Calibri"/>
                <w:color w:val="000000"/>
              </w:rPr>
            </w:pPr>
            <w:r w:rsidRPr="00171E37">
              <w:rPr>
                <w:rFonts w:ascii="Calibri" w:eastAsia="Calibri" w:hAnsi="Calibri"/>
                <w:color w:val="000000"/>
              </w:rPr>
              <w:t xml:space="preserve">Harding Z., et al. </w:t>
            </w:r>
            <w:r w:rsidRPr="00171E37">
              <w:rPr>
                <w:rFonts w:ascii="Calibri" w:eastAsia="Calibri" w:hAnsi="Calibri"/>
                <w:b/>
                <w:color w:val="000000"/>
              </w:rPr>
              <w:t xml:space="preserve">Accuracy of routinely collected health data for identifying Parkinson’s disease and parkinsonism cases: a systematic review. </w:t>
            </w:r>
            <w:r w:rsidRPr="00171E37">
              <w:rPr>
                <w:rFonts w:ascii="Calibri" w:eastAsia="Calibri" w:hAnsi="Calibri"/>
                <w:color w:val="000000"/>
              </w:rPr>
              <w:t>PLOS ONE. 2019 Jan 31;14(1):e0198736.</w:t>
            </w:r>
          </w:p>
          <w:p w14:paraId="01CE36F6" w14:textId="2D4512ED" w:rsidR="0079713C" w:rsidRPr="00171E37" w:rsidRDefault="00212B3E" w:rsidP="0079713C">
            <w:pPr>
              <w:spacing w:before="6" w:line="268" w:lineRule="exact"/>
              <w:ind w:left="144" w:right="108"/>
              <w:textAlignment w:val="baseline"/>
              <w:rPr>
                <w:rFonts w:ascii="Calibri" w:eastAsia="Calibri" w:hAnsi="Calibri"/>
                <w:i/>
                <w:color w:val="000000"/>
              </w:rPr>
            </w:pPr>
            <w:r>
              <w:rPr>
                <w:rFonts w:ascii="Calibri" w:eastAsia="Calibri" w:hAnsi="Calibri"/>
                <w:i/>
                <w:color w:val="000000"/>
              </w:rPr>
              <w:t>The team</w:t>
            </w:r>
            <w:r w:rsidR="0079713C" w:rsidRPr="00171E37">
              <w:rPr>
                <w:rFonts w:ascii="Calibri" w:eastAsia="Calibri" w:hAnsi="Calibri"/>
                <w:i/>
                <w:color w:val="000000"/>
              </w:rPr>
              <w:t xml:space="preserve"> systematically reviewed studies validating the accuracy of using routinely collected healthcare datasets to identify Parkinson’s disease cases. </w:t>
            </w:r>
            <w:r>
              <w:rPr>
                <w:rFonts w:ascii="Calibri" w:eastAsia="Calibri" w:hAnsi="Calibri"/>
                <w:i/>
                <w:color w:val="000000"/>
              </w:rPr>
              <w:t>It</w:t>
            </w:r>
            <w:r w:rsidR="0079713C" w:rsidRPr="00171E37">
              <w:rPr>
                <w:rFonts w:ascii="Calibri" w:eastAsia="Calibri" w:hAnsi="Calibri"/>
                <w:i/>
                <w:color w:val="000000"/>
              </w:rPr>
              <w:t xml:space="preserve"> found relatively wide-ranging accuracy estimates and identified gaps in current knowledge. </w:t>
            </w:r>
            <w:r>
              <w:rPr>
                <w:rFonts w:ascii="Calibri" w:eastAsia="Calibri" w:hAnsi="Calibri"/>
                <w:i/>
                <w:color w:val="000000"/>
              </w:rPr>
              <w:t>It highlighted a</w:t>
            </w:r>
            <w:r w:rsidR="0079713C" w:rsidRPr="00171E37">
              <w:rPr>
                <w:rFonts w:ascii="Calibri" w:eastAsia="Calibri" w:hAnsi="Calibri"/>
                <w:i/>
                <w:color w:val="000000"/>
              </w:rPr>
              <w:t xml:space="preserve">reas where further, context-specific validation studies are warranted </w:t>
            </w:r>
            <w:r>
              <w:rPr>
                <w:rFonts w:ascii="Calibri" w:eastAsia="Calibri" w:hAnsi="Calibri"/>
                <w:i/>
                <w:color w:val="000000"/>
              </w:rPr>
              <w:t>plus</w:t>
            </w:r>
            <w:r w:rsidR="0079713C" w:rsidRPr="00171E37">
              <w:rPr>
                <w:rFonts w:ascii="Calibri" w:eastAsia="Calibri" w:hAnsi="Calibri"/>
                <w:i/>
                <w:color w:val="000000"/>
              </w:rPr>
              <w:t xml:space="preserve"> identified additional datasets that may assist future algorithm development</w:t>
            </w:r>
            <w:r>
              <w:rPr>
                <w:rFonts w:ascii="Calibri" w:eastAsia="Calibri" w:hAnsi="Calibri"/>
                <w:i/>
                <w:color w:val="000000"/>
              </w:rPr>
              <w:t>.</w:t>
            </w:r>
          </w:p>
          <w:p w14:paraId="5F1F3E5A" w14:textId="77777777" w:rsidR="0079713C" w:rsidRPr="00171E37" w:rsidRDefault="0079713C" w:rsidP="0079713C">
            <w:pPr>
              <w:numPr>
                <w:ilvl w:val="0"/>
                <w:numId w:val="5"/>
              </w:numPr>
              <w:tabs>
                <w:tab w:val="clear" w:pos="360"/>
                <w:tab w:val="left" w:pos="504"/>
              </w:tabs>
              <w:spacing w:before="8" w:line="268" w:lineRule="exact"/>
              <w:ind w:left="504" w:right="108" w:hanging="360"/>
              <w:textAlignment w:val="baseline"/>
              <w:rPr>
                <w:rFonts w:ascii="Calibri" w:eastAsia="Calibri" w:hAnsi="Calibri"/>
                <w:color w:val="000000"/>
              </w:rPr>
            </w:pPr>
            <w:r w:rsidRPr="00171E37">
              <w:rPr>
                <w:rFonts w:ascii="Calibri" w:eastAsia="Calibri" w:hAnsi="Calibri"/>
                <w:color w:val="000000"/>
              </w:rPr>
              <w:t xml:space="preserve">Wilkinson T., et al. </w:t>
            </w:r>
            <w:r w:rsidRPr="00171E37">
              <w:rPr>
                <w:rFonts w:ascii="Calibri" w:eastAsia="Calibri" w:hAnsi="Calibri"/>
                <w:b/>
                <w:color w:val="000000"/>
              </w:rPr>
              <w:t xml:space="preserve">Identifying dementia outcomes in UK Biobank: a validation study of primary care, hospital admissions and mortality data. </w:t>
            </w:r>
            <w:r w:rsidRPr="00171E37">
              <w:rPr>
                <w:rFonts w:ascii="Calibri" w:eastAsia="Calibri" w:hAnsi="Calibri"/>
                <w:color w:val="000000"/>
              </w:rPr>
              <w:t>Eur J Epidemiol. 2019 Feb 26. doi: 10.1007/s10654-019-00499-1.</w:t>
            </w:r>
          </w:p>
          <w:p w14:paraId="75A6D743" w14:textId="5CE63E84" w:rsidR="00212B3E" w:rsidRDefault="0079713C" w:rsidP="00212B3E">
            <w:pPr>
              <w:tabs>
                <w:tab w:val="left" w:pos="360"/>
                <w:tab w:val="left" w:pos="504"/>
              </w:tabs>
              <w:spacing w:line="270" w:lineRule="exact"/>
              <w:ind w:left="144" w:right="576"/>
              <w:textAlignment w:val="baseline"/>
              <w:rPr>
                <w:noProof/>
                <w:lang w:eastAsia="en-GB"/>
              </w:rPr>
            </w:pPr>
            <w:r w:rsidRPr="00171E37">
              <w:rPr>
                <w:rFonts w:ascii="Calibri" w:eastAsia="Calibri" w:hAnsi="Calibri"/>
                <w:i/>
                <w:color w:val="000000"/>
              </w:rPr>
              <w:t xml:space="preserve">Using UK Biobank (UKB) data, </w:t>
            </w:r>
            <w:r w:rsidR="00212B3E">
              <w:rPr>
                <w:rFonts w:ascii="Calibri" w:eastAsia="Calibri" w:hAnsi="Calibri"/>
                <w:i/>
                <w:color w:val="000000"/>
              </w:rPr>
              <w:t>the team</w:t>
            </w:r>
            <w:r w:rsidRPr="00171E37">
              <w:rPr>
                <w:rFonts w:ascii="Calibri" w:eastAsia="Calibri" w:hAnsi="Calibri"/>
                <w:i/>
                <w:color w:val="000000"/>
              </w:rPr>
              <w:t xml:space="preserve"> conducted a validation study of using routinely collected healthcare datasets (primary care, hospital admissions and mortality data) to identify dementia cases. </w:t>
            </w:r>
            <w:r w:rsidR="00212B3E">
              <w:rPr>
                <w:rFonts w:ascii="Calibri" w:eastAsia="Calibri" w:hAnsi="Calibri"/>
                <w:i/>
                <w:color w:val="000000"/>
              </w:rPr>
              <w:t>It</w:t>
            </w:r>
            <w:r w:rsidRPr="00171E37">
              <w:rPr>
                <w:rFonts w:ascii="Calibri" w:eastAsia="Calibri" w:hAnsi="Calibri"/>
                <w:i/>
                <w:color w:val="000000"/>
              </w:rPr>
              <w:t xml:space="preserve"> identified three algorithms that are likely to be highly predictive of all-cause dementia. UKB will use these to generate derived dementia outcome variables for researchers.</w:t>
            </w:r>
            <w:r w:rsidRPr="00171E37">
              <w:rPr>
                <w:noProof/>
                <w:lang w:eastAsia="en-GB"/>
              </w:rPr>
              <w:t xml:space="preserve"> </w:t>
            </w:r>
          </w:p>
          <w:p w14:paraId="7EDEFE88" w14:textId="77777777" w:rsidR="00212B3E" w:rsidRPr="00212B3E" w:rsidRDefault="0079713C" w:rsidP="00212B3E">
            <w:pPr>
              <w:pStyle w:val="ListParagraph"/>
              <w:numPr>
                <w:ilvl w:val="0"/>
                <w:numId w:val="9"/>
              </w:numPr>
              <w:tabs>
                <w:tab w:val="left" w:pos="360"/>
                <w:tab w:val="left" w:pos="504"/>
              </w:tabs>
              <w:spacing w:line="270" w:lineRule="exact"/>
              <w:ind w:left="589" w:right="576" w:hanging="425"/>
              <w:jc w:val="both"/>
              <w:textAlignment w:val="baseline"/>
              <w:rPr>
                <w:noProof/>
                <w:lang w:eastAsia="en-GB"/>
              </w:rPr>
            </w:pPr>
            <w:r w:rsidRPr="00212B3E">
              <w:rPr>
                <w:rFonts w:ascii="Calibri" w:eastAsia="Calibri" w:hAnsi="Calibri"/>
                <w:color w:val="000000"/>
                <w:sz w:val="23"/>
              </w:rPr>
              <w:t xml:space="preserve">Wilkinson T., et al. </w:t>
            </w:r>
            <w:r w:rsidRPr="00212B3E">
              <w:rPr>
                <w:rFonts w:ascii="Calibri" w:eastAsia="Calibri" w:hAnsi="Calibri"/>
                <w:b/>
                <w:color w:val="000000"/>
              </w:rPr>
              <w:t>Cohort Data resource profile: Th</w:t>
            </w:r>
            <w:r w:rsidR="00212B3E">
              <w:rPr>
                <w:rFonts w:ascii="Calibri" w:eastAsia="Calibri" w:hAnsi="Calibri"/>
                <w:b/>
                <w:color w:val="000000"/>
              </w:rPr>
              <w:t>e Secure Anonymised Information</w:t>
            </w:r>
          </w:p>
          <w:p w14:paraId="60FD82D6" w14:textId="4EED40E2" w:rsidR="0079713C" w:rsidRPr="00212B3E" w:rsidRDefault="0079713C" w:rsidP="00212B3E">
            <w:pPr>
              <w:tabs>
                <w:tab w:val="left" w:pos="360"/>
                <w:tab w:val="left" w:pos="504"/>
              </w:tabs>
              <w:spacing w:line="270" w:lineRule="exact"/>
              <w:ind w:left="164" w:right="576"/>
              <w:jc w:val="both"/>
              <w:textAlignment w:val="baseline"/>
              <w:rPr>
                <w:noProof/>
                <w:lang w:eastAsia="en-GB"/>
              </w:rPr>
            </w:pPr>
            <w:r w:rsidRPr="00212B3E">
              <w:rPr>
                <w:rFonts w:ascii="Calibri" w:eastAsia="Calibri" w:hAnsi="Calibri"/>
                <w:b/>
                <w:color w:val="000000"/>
              </w:rPr>
              <w:t xml:space="preserve">Linkage Databank Dementia e-cohort (SAIL-DeC). </w:t>
            </w:r>
            <w:r w:rsidRPr="00212B3E">
              <w:rPr>
                <w:rFonts w:ascii="Calibri" w:eastAsia="Calibri" w:hAnsi="Calibri"/>
                <w:color w:val="000000"/>
                <w:sz w:val="23"/>
              </w:rPr>
              <w:t>International Journal of Population Health Sciences, v5 (i1),2020.</w:t>
            </w:r>
            <w:r w:rsidRPr="00212B3E">
              <w:rPr>
                <w:rFonts w:ascii="Arial" w:eastAsia="Arial" w:hAnsi="Arial"/>
                <w:color w:val="17BB9C"/>
                <w:sz w:val="20"/>
                <w:u w:val="single"/>
              </w:rPr>
              <w:t xml:space="preserve"> </w:t>
            </w:r>
            <w:hyperlink r:id="rId9">
              <w:r w:rsidRPr="00212B3E">
                <w:rPr>
                  <w:rFonts w:ascii="Arial" w:eastAsia="Arial" w:hAnsi="Arial"/>
                  <w:color w:val="0000FF"/>
                  <w:sz w:val="20"/>
                  <w:u w:val="single"/>
                </w:rPr>
                <w:t>https://doi.org/10.23889/ijpds.v5i1.1121</w:t>
              </w:r>
            </w:hyperlink>
            <w:r w:rsidRPr="00212B3E">
              <w:rPr>
                <w:rFonts w:ascii="Arial" w:eastAsia="Arial" w:hAnsi="Arial"/>
                <w:color w:val="000000"/>
                <w:sz w:val="20"/>
              </w:rPr>
              <w:t xml:space="preserve"> </w:t>
            </w:r>
          </w:p>
          <w:p w14:paraId="78913816" w14:textId="10A7DC4A" w:rsidR="0079713C" w:rsidRDefault="00212B3E" w:rsidP="0079713C">
            <w:pPr>
              <w:spacing w:line="266" w:lineRule="exact"/>
              <w:ind w:left="144" w:right="360"/>
              <w:textAlignment w:val="baseline"/>
              <w:rPr>
                <w:rFonts w:ascii="Calibri" w:eastAsia="Calibri" w:hAnsi="Calibri"/>
                <w:i/>
                <w:color w:val="000000"/>
              </w:rPr>
            </w:pPr>
            <w:r>
              <w:rPr>
                <w:rFonts w:ascii="Calibri" w:eastAsia="Calibri" w:hAnsi="Calibri"/>
                <w:i/>
                <w:color w:val="000000"/>
              </w:rPr>
              <w:t xml:space="preserve">The team </w:t>
            </w:r>
            <w:r w:rsidR="0079713C" w:rsidRPr="00171E37">
              <w:rPr>
                <w:rFonts w:ascii="Calibri" w:eastAsia="Calibri" w:hAnsi="Calibri"/>
                <w:i/>
                <w:color w:val="000000"/>
              </w:rPr>
              <w:t xml:space="preserve">aimed to apply reproducible methods to create the SAIL dementia e-cohort (SAIL-DeC). </w:t>
            </w:r>
            <w:r>
              <w:rPr>
                <w:rFonts w:ascii="Calibri" w:eastAsia="Calibri" w:hAnsi="Calibri"/>
                <w:i/>
                <w:color w:val="000000"/>
              </w:rPr>
              <w:t>It</w:t>
            </w:r>
            <w:r w:rsidR="0079713C" w:rsidRPr="00171E37">
              <w:rPr>
                <w:rFonts w:ascii="Calibri" w:eastAsia="Calibri" w:hAnsi="Calibri"/>
                <w:i/>
                <w:color w:val="000000"/>
              </w:rPr>
              <w:t xml:space="preserve"> created SAIL-DeC with a view to maximising its utility for a broad range of research questions whilst minimising duplication of effort for researchers. From 4.4 million unique </w:t>
            </w:r>
            <w:r w:rsidR="0079713C" w:rsidRPr="00171E37">
              <w:rPr>
                <w:rFonts w:ascii="Calibri" w:eastAsia="Calibri" w:hAnsi="Calibri"/>
                <w:i/>
                <w:color w:val="000000"/>
              </w:rPr>
              <w:lastRenderedPageBreak/>
              <w:t>participants in SAIL, 1.2 million met the cohort inclusion criteria, resulting in 18.8 million person-years of follow-up. Among the dementia cases, the median duration of observation time was 14 years.</w:t>
            </w:r>
          </w:p>
          <w:p w14:paraId="12BAC426" w14:textId="77777777" w:rsidR="00CB7353" w:rsidRPr="00171E37" w:rsidRDefault="00CB7353" w:rsidP="0079713C">
            <w:pPr>
              <w:spacing w:line="266" w:lineRule="exact"/>
              <w:ind w:left="144" w:right="360"/>
              <w:textAlignment w:val="baseline"/>
              <w:rPr>
                <w:rFonts w:ascii="Calibri" w:eastAsia="Calibri" w:hAnsi="Calibri"/>
                <w:i/>
                <w:color w:val="000000"/>
              </w:rPr>
            </w:pPr>
          </w:p>
          <w:p w14:paraId="762196DB" w14:textId="77777777" w:rsidR="0079713C" w:rsidRPr="00171E37" w:rsidRDefault="0079713C" w:rsidP="0079713C">
            <w:pPr>
              <w:spacing w:before="43" w:line="226" w:lineRule="exact"/>
              <w:ind w:left="144"/>
              <w:textAlignment w:val="baseline"/>
              <w:rPr>
                <w:rFonts w:ascii="Calibri" w:eastAsia="Calibri" w:hAnsi="Calibri"/>
                <w:b/>
                <w:i/>
                <w:color w:val="000000"/>
                <w:spacing w:val="-2"/>
              </w:rPr>
            </w:pPr>
            <w:r w:rsidRPr="00171E37">
              <w:rPr>
                <w:rFonts w:ascii="Calibri" w:eastAsia="Calibri" w:hAnsi="Calibri"/>
                <w:b/>
                <w:i/>
                <w:color w:val="000000"/>
                <w:spacing w:val="-2"/>
              </w:rPr>
              <w:t>Further publications</w:t>
            </w:r>
          </w:p>
          <w:p w14:paraId="01A53AEF" w14:textId="77777777" w:rsidR="0079713C" w:rsidRPr="00171E37" w:rsidRDefault="0079713C" w:rsidP="0079713C">
            <w:pPr>
              <w:pStyle w:val="ListParagraph"/>
              <w:numPr>
                <w:ilvl w:val="0"/>
                <w:numId w:val="8"/>
              </w:numPr>
              <w:tabs>
                <w:tab w:val="left" w:pos="504"/>
              </w:tabs>
              <w:spacing w:before="8" w:line="270" w:lineRule="exact"/>
              <w:ind w:right="720"/>
              <w:textAlignment w:val="baseline"/>
              <w:rPr>
                <w:rFonts w:ascii="Calibri" w:eastAsia="Calibri" w:hAnsi="Calibri"/>
                <w:color w:val="000000"/>
                <w:sz w:val="23"/>
              </w:rPr>
            </w:pPr>
            <w:r w:rsidRPr="00171E37">
              <w:rPr>
                <w:rFonts w:ascii="Calibri" w:eastAsia="Calibri" w:hAnsi="Calibri"/>
                <w:color w:val="000000"/>
                <w:sz w:val="23"/>
              </w:rPr>
              <w:t>Wu H, Hodgson K, Dyson S, Morley KI, Ibrahim ZM, Iqbal E, Stewart R, Dobson RJ, Sudlow C. Efficient reuse of natural language processing models for phenotype-mention identification in free-text electronic medical records: a phenotype embedding approach. JMIR Med Inform 2019;7:e14782. doi: 10.2196/14782.</w:t>
            </w:r>
          </w:p>
          <w:p w14:paraId="3AD2A18A" w14:textId="77777777" w:rsidR="0079713C" w:rsidRPr="00171E37" w:rsidRDefault="0079713C" w:rsidP="0079713C">
            <w:pPr>
              <w:pStyle w:val="ListParagraph"/>
              <w:numPr>
                <w:ilvl w:val="0"/>
                <w:numId w:val="7"/>
              </w:numPr>
              <w:tabs>
                <w:tab w:val="left" w:pos="504"/>
              </w:tabs>
              <w:spacing w:before="8" w:line="270" w:lineRule="exact"/>
              <w:ind w:right="720"/>
              <w:textAlignment w:val="baseline"/>
              <w:rPr>
                <w:rFonts w:ascii="Calibri" w:eastAsia="Calibri" w:hAnsi="Calibri"/>
                <w:color w:val="000000"/>
                <w:sz w:val="23"/>
              </w:rPr>
            </w:pPr>
            <w:r w:rsidRPr="00171E37">
              <w:rPr>
                <w:rFonts w:ascii="Calibri" w:eastAsia="Calibri" w:hAnsi="Calibri"/>
                <w:color w:val="000000"/>
                <w:sz w:val="23"/>
              </w:rPr>
              <w:t>Denaxas S, (13 authors), Sudlow CLM, Hemingway H. UK phenomics platform for developing and validating EHR phenotypes: CALIBER. Journal of the American Medical Informatics Association 2019;26:1545-1559. doi: 10.1093/jamia/ocz105.</w:t>
            </w:r>
          </w:p>
          <w:p w14:paraId="3D8C063F" w14:textId="77777777" w:rsidR="0079713C" w:rsidRPr="00171E37" w:rsidRDefault="0079713C" w:rsidP="0079713C">
            <w:pPr>
              <w:pStyle w:val="ListParagraph"/>
              <w:numPr>
                <w:ilvl w:val="0"/>
                <w:numId w:val="6"/>
              </w:numPr>
              <w:tabs>
                <w:tab w:val="clear" w:pos="360"/>
                <w:tab w:val="left" w:pos="504"/>
              </w:tabs>
              <w:spacing w:before="8" w:line="270" w:lineRule="exact"/>
              <w:ind w:left="504" w:right="720" w:hanging="360"/>
              <w:textAlignment w:val="baseline"/>
              <w:rPr>
                <w:rFonts w:ascii="Calibri" w:eastAsia="Calibri" w:hAnsi="Calibri"/>
                <w:color w:val="000000"/>
                <w:sz w:val="23"/>
              </w:rPr>
            </w:pPr>
            <w:r w:rsidRPr="00171E37">
              <w:rPr>
                <w:rFonts w:ascii="Calibri" w:eastAsia="Calibri" w:hAnsi="Calibri"/>
                <w:color w:val="000000"/>
                <w:sz w:val="23"/>
              </w:rPr>
              <w:t xml:space="preserve">Alex B, Grover C, Tobin R, Sudlow CL, Mair G, Whiteley W. Text Mining Brain Imaging Reports. Journal of Biomedical Semantics 2019;10(Suppl 1):23. doi: 10.1186/s13326-019-0211-7. </w:t>
            </w:r>
          </w:p>
          <w:p w14:paraId="3FD87F65" w14:textId="77777777" w:rsidR="0079713C" w:rsidRPr="00171E37" w:rsidRDefault="0079713C" w:rsidP="0079713C">
            <w:pPr>
              <w:pStyle w:val="ListParagraph"/>
              <w:numPr>
                <w:ilvl w:val="0"/>
                <w:numId w:val="6"/>
              </w:numPr>
              <w:tabs>
                <w:tab w:val="clear" w:pos="360"/>
                <w:tab w:val="left" w:pos="504"/>
              </w:tabs>
              <w:spacing w:before="8" w:line="270" w:lineRule="exact"/>
              <w:ind w:left="504" w:right="720" w:hanging="360"/>
              <w:textAlignment w:val="baseline"/>
              <w:rPr>
                <w:rFonts w:ascii="Calibri" w:eastAsia="Calibri" w:hAnsi="Calibri"/>
                <w:color w:val="000000"/>
                <w:sz w:val="23"/>
              </w:rPr>
            </w:pPr>
            <w:r w:rsidRPr="00171E37">
              <w:rPr>
                <w:rFonts w:ascii="Calibri" w:eastAsia="Calibri" w:hAnsi="Calibri"/>
                <w:color w:val="000000"/>
                <w:sz w:val="23"/>
              </w:rPr>
              <w:t>Davis K AS, Bashford O, Jewell A, Shetty H, Stewart RJ, Sudlow CLM, Hotopf  M.  Using data linkage to electronic patient records to assess the validity of selected mental health diagnoses in English Hospital Episode Statistics (HES) PLoS One 2018; 13:e0195002.</w:t>
            </w:r>
          </w:p>
          <w:p w14:paraId="6F9C1DBB" w14:textId="77777777" w:rsidR="0079713C" w:rsidRPr="00171E37" w:rsidRDefault="0079713C" w:rsidP="0079713C">
            <w:pPr>
              <w:pStyle w:val="ListParagraph"/>
              <w:numPr>
                <w:ilvl w:val="0"/>
                <w:numId w:val="6"/>
              </w:numPr>
              <w:tabs>
                <w:tab w:val="clear" w:pos="360"/>
                <w:tab w:val="left" w:pos="504"/>
              </w:tabs>
              <w:spacing w:before="8" w:line="270" w:lineRule="exact"/>
              <w:ind w:left="504" w:right="720" w:hanging="360"/>
              <w:textAlignment w:val="baseline"/>
              <w:rPr>
                <w:rFonts w:ascii="Calibri" w:eastAsia="Calibri" w:hAnsi="Calibri"/>
                <w:color w:val="000000"/>
                <w:sz w:val="23"/>
              </w:rPr>
            </w:pPr>
            <w:r w:rsidRPr="00171E37">
              <w:rPr>
                <w:rFonts w:ascii="Calibri" w:eastAsia="Calibri" w:hAnsi="Calibri"/>
                <w:color w:val="000000"/>
                <w:sz w:val="23"/>
              </w:rPr>
              <w:t>Denaxas S, Gonzalez-Izquierdo A, Direk K, Fitzpatrick NK, Fatemifar G, Banerjee A, Dobson RJB, Howe LJ, Kuan V, Lumbers RT, Pasea L, Patel RS, Shah AD, Hingorani AD, Sudlow C, Hemingway H. UK phenomics platform for developing and validating electronic health record phenotypes: CALIBER. J Am Med Inform Assoc. 2019 Dec 1;26(12):1545-1559. doi: 10.1093/jamia/ocz105.</w:t>
            </w:r>
          </w:p>
          <w:p w14:paraId="532D792E" w14:textId="77777777" w:rsidR="0079713C" w:rsidRPr="00171E37" w:rsidRDefault="0079713C" w:rsidP="0079713C">
            <w:pPr>
              <w:pStyle w:val="ListParagraph"/>
              <w:numPr>
                <w:ilvl w:val="0"/>
                <w:numId w:val="6"/>
              </w:numPr>
              <w:tabs>
                <w:tab w:val="clear" w:pos="360"/>
                <w:tab w:val="left" w:pos="504"/>
              </w:tabs>
              <w:spacing w:before="8" w:line="270" w:lineRule="exact"/>
              <w:ind w:left="504" w:right="720" w:hanging="360"/>
              <w:textAlignment w:val="baseline"/>
              <w:rPr>
                <w:rFonts w:ascii="Calibri" w:eastAsia="Calibri" w:hAnsi="Calibri"/>
                <w:color w:val="000000"/>
                <w:sz w:val="23"/>
              </w:rPr>
            </w:pPr>
            <w:r w:rsidRPr="00171E37">
              <w:rPr>
                <w:rFonts w:ascii="Calibri" w:eastAsia="Calibri" w:hAnsi="Calibri"/>
                <w:color w:val="000000"/>
                <w:sz w:val="23"/>
              </w:rPr>
              <w:t>Calvin CM, Wilkinson T, Starr JM, Sudlow C, Hagenaars SP, Harris SE, Schnier C, Davies G, Fawns-Ritchie C, Gale CR, Gallacher J, Deary IJ.. Predicting incident dementia 3-8 years after brief cognitive tests in the UK Biobank prospective study of 500,000 people. Alzheimer's &amp; Dementia 2019 Oct 13. pii: S1552-5260(19)35137-4. doi: 10.1016/j.jalz.2019.07.014. [Epub ahead of print]</w:t>
            </w:r>
          </w:p>
          <w:p w14:paraId="128EC96F" w14:textId="77777777" w:rsidR="0079713C" w:rsidRPr="00171E37" w:rsidRDefault="0079713C" w:rsidP="0079713C">
            <w:pPr>
              <w:pStyle w:val="ListParagraph"/>
              <w:numPr>
                <w:ilvl w:val="0"/>
                <w:numId w:val="6"/>
              </w:numPr>
              <w:tabs>
                <w:tab w:val="clear" w:pos="360"/>
                <w:tab w:val="left" w:pos="504"/>
              </w:tabs>
              <w:spacing w:before="8" w:line="270" w:lineRule="exact"/>
              <w:ind w:left="504" w:right="720" w:hanging="360"/>
              <w:textAlignment w:val="baseline"/>
              <w:rPr>
                <w:rFonts w:ascii="Calibri" w:eastAsia="Calibri" w:hAnsi="Calibri"/>
                <w:color w:val="000000"/>
                <w:sz w:val="23"/>
              </w:rPr>
            </w:pPr>
            <w:r w:rsidRPr="00171E37">
              <w:rPr>
                <w:rFonts w:ascii="Calibri" w:eastAsia="Calibri" w:hAnsi="Calibri"/>
                <w:color w:val="000000"/>
                <w:sz w:val="23"/>
              </w:rPr>
              <w:t xml:space="preserve">Denaxas S, Gonzalez-Izquierdo A, Direk K, Fitzpatrick NK, Fatemifar G, Banerjee A, Dobson RJB, Howe LJ, Kuan V, Lumbers RT, Pasea L, Patel RS, Shah AD, Hingorani AD, Sudlow C, Hemingway H. UK phenomics platform for developing </w:t>
            </w:r>
            <w:r w:rsidRPr="00171E37">
              <w:rPr>
                <w:rFonts w:ascii="Calibri" w:eastAsia="Calibri" w:hAnsi="Calibri"/>
                <w:color w:val="000000"/>
                <w:sz w:val="23"/>
              </w:rPr>
              <w:lastRenderedPageBreak/>
              <w:t>and validating electronic health record phenotypes: CALIBER. J Am Med Inform Assoc. 2019 Dec 1;26(12):1545-1559. doi: 10.1093/jamia/ocz105.</w:t>
            </w:r>
          </w:p>
          <w:p w14:paraId="0AD25423" w14:textId="77777777" w:rsidR="0079713C" w:rsidRPr="00171E37" w:rsidRDefault="0079713C" w:rsidP="0079713C">
            <w:pPr>
              <w:pStyle w:val="ListParagraph"/>
              <w:numPr>
                <w:ilvl w:val="0"/>
                <w:numId w:val="6"/>
              </w:numPr>
              <w:tabs>
                <w:tab w:val="clear" w:pos="360"/>
                <w:tab w:val="left" w:pos="504"/>
              </w:tabs>
              <w:spacing w:before="8" w:line="270" w:lineRule="exact"/>
              <w:ind w:left="504" w:right="720" w:hanging="360"/>
              <w:textAlignment w:val="baseline"/>
            </w:pPr>
            <w:r w:rsidRPr="00171E37">
              <w:rPr>
                <w:rFonts w:ascii="Calibri" w:eastAsia="Calibri" w:hAnsi="Calibri"/>
                <w:color w:val="000000"/>
                <w:sz w:val="23"/>
              </w:rPr>
              <w:t>Calvin CM, Wilkinson T, Starr JM, Sudlow C, Hagenaars SP, Harris SE, Schnier C, Davies G, Fawns-Ritchie C, Gale CR, Gallacher J, Deary IJ.. Predicting incident dementia 3-8 years after brief cognitive tests in the UK Biobank prospective study of 500,000 people. Alzheimer's &amp; Dementia 2019 Oct 13. pii: S1552-5260(19)35137-4. doi: 10.1016/j.jalz.2019.07.014. [Epub ahead of print]</w:t>
            </w:r>
          </w:p>
          <w:p w14:paraId="41F267A8" w14:textId="77777777" w:rsidR="0079713C" w:rsidRPr="00171E37" w:rsidRDefault="0079713C" w:rsidP="0079713C">
            <w:pPr>
              <w:pStyle w:val="ListParagraph"/>
              <w:numPr>
                <w:ilvl w:val="0"/>
                <w:numId w:val="6"/>
              </w:numPr>
              <w:tabs>
                <w:tab w:val="clear" w:pos="360"/>
                <w:tab w:val="left" w:pos="504"/>
              </w:tabs>
              <w:spacing w:before="8" w:line="270" w:lineRule="exact"/>
              <w:ind w:left="504" w:right="720" w:hanging="360"/>
              <w:textAlignment w:val="baseline"/>
              <w:rPr>
                <w:rFonts w:cstheme="minorHAnsi"/>
                <w:sz w:val="23"/>
                <w:szCs w:val="23"/>
              </w:rPr>
            </w:pPr>
            <w:r w:rsidRPr="00171E37">
              <w:rPr>
                <w:rFonts w:cstheme="minorHAnsi"/>
                <w:sz w:val="23"/>
                <w:szCs w:val="23"/>
              </w:rPr>
              <w:t>Giebel, C., Hollinghurst, J., Akbari, A., Schnier, C., Wilkinson, T., North, L., Gabbay, M. &amp; Rodgers, S., , Socio‐economic predictors of time to care home admission in people living with dementia in Wales: A routine data linkage study: International Journal of Geriatric Psychiatry12 Oct 2020. doi: 10.1002/gps.5446.</w:t>
            </w:r>
          </w:p>
          <w:p w14:paraId="0B7F6091" w14:textId="77777777" w:rsidR="0079713C" w:rsidRPr="00171E37" w:rsidRDefault="0079713C" w:rsidP="0079713C">
            <w:pPr>
              <w:pStyle w:val="ListParagraph"/>
              <w:numPr>
                <w:ilvl w:val="0"/>
                <w:numId w:val="6"/>
              </w:numPr>
              <w:tabs>
                <w:tab w:val="clear" w:pos="360"/>
                <w:tab w:val="left" w:pos="504"/>
              </w:tabs>
              <w:spacing w:before="8" w:line="270" w:lineRule="exact"/>
              <w:ind w:left="504" w:right="720" w:hanging="360"/>
              <w:textAlignment w:val="baseline"/>
            </w:pPr>
            <w:r w:rsidRPr="00171E37">
              <w:rPr>
                <w:rFonts w:ascii="Calibri" w:eastAsia="Calibri" w:hAnsi="Calibri"/>
                <w:color w:val="000000"/>
                <w:sz w:val="23"/>
              </w:rPr>
              <w:t>Schnier C, Duncan S, Wilkinson T, Mbizvo GK, Chin RFM. A nationwide, retrospective, data-linkage, cohort study of epilepsy and incident dementia. Neurology. 2020 Sep 22;95(12):e1686-e1693. doi: 10.1212/WNL.0000000000010358. Epub 2020 Jul 17. PMID: 32680951</w:t>
            </w:r>
          </w:p>
          <w:p w14:paraId="30A8478F" w14:textId="77777777" w:rsidR="0079713C" w:rsidRPr="00171E37" w:rsidRDefault="0079713C" w:rsidP="0079713C">
            <w:pPr>
              <w:spacing w:before="310" w:line="227" w:lineRule="exact"/>
              <w:ind w:left="144"/>
              <w:textAlignment w:val="baseline"/>
              <w:rPr>
                <w:rFonts w:ascii="Calibri" w:eastAsia="Calibri" w:hAnsi="Calibri"/>
                <w:b/>
                <w:color w:val="000000"/>
                <w:spacing w:val="-1"/>
              </w:rPr>
            </w:pPr>
            <w:r w:rsidRPr="00171E37">
              <w:rPr>
                <w:rFonts w:ascii="Calibri" w:eastAsia="Calibri" w:hAnsi="Calibri"/>
                <w:b/>
                <w:color w:val="000000"/>
                <w:spacing w:val="-1"/>
              </w:rPr>
              <w:t>In preparation / submission:</w:t>
            </w:r>
          </w:p>
          <w:p w14:paraId="42CE0B38" w14:textId="77777777" w:rsidR="0079713C" w:rsidRPr="00171E37" w:rsidRDefault="0079713C" w:rsidP="0079713C">
            <w:pPr>
              <w:numPr>
                <w:ilvl w:val="0"/>
                <w:numId w:val="6"/>
              </w:numPr>
              <w:tabs>
                <w:tab w:val="clear" w:pos="360"/>
                <w:tab w:val="left" w:pos="504"/>
              </w:tabs>
              <w:spacing w:before="42" w:line="241" w:lineRule="exact"/>
              <w:ind w:left="504" w:hanging="360"/>
              <w:textAlignment w:val="baseline"/>
              <w:rPr>
                <w:rFonts w:ascii="Calibri" w:eastAsia="Calibri" w:hAnsi="Calibri"/>
                <w:color w:val="000000"/>
                <w:sz w:val="23"/>
              </w:rPr>
            </w:pPr>
            <w:r w:rsidRPr="00171E37">
              <w:rPr>
                <w:rFonts w:ascii="Calibri" w:eastAsia="Calibri" w:hAnsi="Calibri"/>
                <w:color w:val="000000"/>
                <w:sz w:val="23"/>
              </w:rPr>
              <w:t xml:space="preserve">Bush K., et al. </w:t>
            </w:r>
            <w:r w:rsidRPr="00171E37">
              <w:rPr>
                <w:rFonts w:ascii="Calibri" w:eastAsia="Calibri" w:hAnsi="Calibri"/>
                <w:b/>
                <w:color w:val="000000"/>
              </w:rPr>
              <w:t>Using routinely collected healthcare data to identify Parkinson’s disease in UK Biobank.</w:t>
            </w:r>
          </w:p>
          <w:p w14:paraId="75914E1D" w14:textId="77777777" w:rsidR="0079713C" w:rsidRPr="00171E37" w:rsidRDefault="0079713C" w:rsidP="0079713C">
            <w:pPr>
              <w:numPr>
                <w:ilvl w:val="0"/>
                <w:numId w:val="6"/>
              </w:numPr>
              <w:tabs>
                <w:tab w:val="clear" w:pos="360"/>
                <w:tab w:val="left" w:pos="504"/>
              </w:tabs>
              <w:spacing w:before="37" w:line="241" w:lineRule="exact"/>
              <w:ind w:left="504" w:hanging="360"/>
              <w:textAlignment w:val="baseline"/>
              <w:rPr>
                <w:rFonts w:ascii="Calibri" w:eastAsia="Calibri" w:hAnsi="Calibri"/>
                <w:color w:val="000000"/>
                <w:sz w:val="23"/>
              </w:rPr>
            </w:pPr>
            <w:r w:rsidRPr="00171E37">
              <w:rPr>
                <w:rFonts w:ascii="Calibri" w:eastAsia="Calibri" w:hAnsi="Calibri"/>
                <w:color w:val="000000"/>
                <w:sz w:val="23"/>
              </w:rPr>
              <w:t xml:space="preserve">Ly A., et al. </w:t>
            </w:r>
            <w:r w:rsidRPr="00171E37">
              <w:rPr>
                <w:rFonts w:ascii="Calibri" w:eastAsia="Calibri" w:hAnsi="Calibri"/>
                <w:b/>
                <w:color w:val="000000"/>
              </w:rPr>
              <w:t>Dementia case identification using linkage to electronic health data in population-based cohort studies: the Whitehall II cohort study.</w:t>
            </w:r>
          </w:p>
          <w:p w14:paraId="2BE25411" w14:textId="77777777" w:rsidR="00CF0FA1" w:rsidRPr="00B226AE" w:rsidRDefault="00CF0FA1" w:rsidP="00D45A11">
            <w:pPr>
              <w:rPr>
                <w:rFonts w:cstheme="minorHAnsi"/>
              </w:rPr>
            </w:pPr>
          </w:p>
        </w:tc>
      </w:tr>
      <w:tr w:rsidR="00B75528" w:rsidRPr="00A75597" w14:paraId="59132D6F" w14:textId="77777777" w:rsidTr="00B75528">
        <w:tc>
          <w:tcPr>
            <w:tcW w:w="9016" w:type="dxa"/>
            <w:shd w:val="clear" w:color="auto" w:fill="D0CECE" w:themeFill="background2" w:themeFillShade="E6"/>
          </w:tcPr>
          <w:p w14:paraId="6CC19237" w14:textId="77777777" w:rsidR="00B75528" w:rsidRPr="00143F6F" w:rsidRDefault="00143F6F" w:rsidP="00A75597">
            <w:pPr>
              <w:rPr>
                <w:rFonts w:cstheme="minorHAnsi"/>
                <w:b/>
              </w:rPr>
            </w:pPr>
            <w:r w:rsidRPr="00143F6F">
              <w:rPr>
                <w:rFonts w:cstheme="minorHAnsi"/>
                <w:b/>
              </w:rPr>
              <w:lastRenderedPageBreak/>
              <w:t>Collaborations &amp; P</w:t>
            </w:r>
            <w:r w:rsidR="00B75528" w:rsidRPr="00143F6F">
              <w:rPr>
                <w:rFonts w:cstheme="minorHAnsi"/>
                <w:b/>
              </w:rPr>
              <w:t>artnerships</w:t>
            </w:r>
          </w:p>
        </w:tc>
      </w:tr>
      <w:tr w:rsidR="00B75528" w:rsidRPr="00A75597" w14:paraId="0028018E" w14:textId="77777777" w:rsidTr="00344813">
        <w:tc>
          <w:tcPr>
            <w:tcW w:w="9016" w:type="dxa"/>
          </w:tcPr>
          <w:p w14:paraId="4FC2D311" w14:textId="0B1A8F18" w:rsidR="00143F6F" w:rsidRPr="00A75597" w:rsidRDefault="00CB7353" w:rsidP="00CF6C94">
            <w:pPr>
              <w:rPr>
                <w:rFonts w:cstheme="minorHAnsi"/>
              </w:rPr>
            </w:pPr>
            <w:r>
              <w:rPr>
                <w:rFonts w:cstheme="minorHAnsi"/>
              </w:rPr>
              <w:t xml:space="preserve">The work has only been possible due on the team’s </w:t>
            </w:r>
            <w:r w:rsidR="0002636F">
              <w:rPr>
                <w:rFonts w:cstheme="minorHAnsi"/>
              </w:rPr>
              <w:t>close collaboration</w:t>
            </w:r>
            <w:r>
              <w:rPr>
                <w:rFonts w:cstheme="minorHAnsi"/>
              </w:rPr>
              <w:t xml:space="preserve"> with UK Biobank</w:t>
            </w:r>
            <w:r w:rsidR="00CF6C94">
              <w:rPr>
                <w:rFonts w:cstheme="minorHAnsi"/>
              </w:rPr>
              <w:t xml:space="preserve"> and its permission to access linked healthcare records</w:t>
            </w:r>
            <w:r>
              <w:rPr>
                <w:rFonts w:cstheme="minorHAnsi"/>
              </w:rPr>
              <w:t>.</w:t>
            </w:r>
          </w:p>
        </w:tc>
      </w:tr>
      <w:tr w:rsidR="00B75528" w:rsidRPr="00A75597" w14:paraId="68C96FBE" w14:textId="77777777" w:rsidTr="003615FD">
        <w:tc>
          <w:tcPr>
            <w:tcW w:w="9016" w:type="dxa"/>
            <w:shd w:val="clear" w:color="auto" w:fill="D0CECE" w:themeFill="background2" w:themeFillShade="E6"/>
          </w:tcPr>
          <w:p w14:paraId="19D057EA" w14:textId="77777777" w:rsidR="00B75528" w:rsidRPr="00143F6F" w:rsidRDefault="00B75528" w:rsidP="00D45A11">
            <w:pPr>
              <w:rPr>
                <w:rFonts w:cstheme="minorHAnsi"/>
                <w:b/>
              </w:rPr>
            </w:pPr>
            <w:r w:rsidRPr="00143F6F">
              <w:rPr>
                <w:rFonts w:cstheme="minorHAnsi"/>
                <w:b/>
              </w:rPr>
              <w:t>Further Funding</w:t>
            </w:r>
          </w:p>
        </w:tc>
      </w:tr>
      <w:tr w:rsidR="00B75528" w:rsidRPr="00A75597" w14:paraId="6CCA02BA" w14:textId="77777777" w:rsidTr="009866D3">
        <w:tc>
          <w:tcPr>
            <w:tcW w:w="9016" w:type="dxa"/>
          </w:tcPr>
          <w:p w14:paraId="12D0BC07" w14:textId="18AA4D14" w:rsidR="00B75528" w:rsidRDefault="0002636F" w:rsidP="00D45A11">
            <w:pPr>
              <w:rPr>
                <w:rFonts w:cstheme="minorHAnsi"/>
              </w:rPr>
            </w:pPr>
            <w:r>
              <w:rPr>
                <w:rFonts w:cstheme="minorHAnsi"/>
              </w:rPr>
              <w:t>N/A</w:t>
            </w:r>
          </w:p>
        </w:tc>
      </w:tr>
      <w:tr w:rsidR="00B75528" w:rsidRPr="00A75597" w14:paraId="11F76383" w14:textId="77777777" w:rsidTr="00306C08">
        <w:tc>
          <w:tcPr>
            <w:tcW w:w="9016" w:type="dxa"/>
            <w:shd w:val="clear" w:color="auto" w:fill="D0CECE" w:themeFill="background2" w:themeFillShade="E6"/>
          </w:tcPr>
          <w:p w14:paraId="1CD77D87" w14:textId="77777777" w:rsidR="00B75528" w:rsidRPr="00143F6F" w:rsidRDefault="00143F6F" w:rsidP="00D45A11">
            <w:pPr>
              <w:rPr>
                <w:rFonts w:cstheme="minorHAnsi"/>
                <w:b/>
              </w:rPr>
            </w:pPr>
            <w:r w:rsidRPr="00143F6F">
              <w:rPr>
                <w:rFonts w:cstheme="minorHAnsi"/>
                <w:b/>
              </w:rPr>
              <w:t>Next D</w:t>
            </w:r>
            <w:r w:rsidR="00B75528" w:rsidRPr="00143F6F">
              <w:rPr>
                <w:rFonts w:cstheme="minorHAnsi"/>
                <w:b/>
              </w:rPr>
              <w:t>estinations</w:t>
            </w:r>
          </w:p>
        </w:tc>
      </w:tr>
      <w:tr w:rsidR="00B75528" w:rsidRPr="00A75597" w14:paraId="5DE2A3CE" w14:textId="77777777" w:rsidTr="005A54F4">
        <w:tc>
          <w:tcPr>
            <w:tcW w:w="9016" w:type="dxa"/>
          </w:tcPr>
          <w:p w14:paraId="5AB1464B" w14:textId="39AEC9B5" w:rsidR="00B75528" w:rsidRDefault="0002636F" w:rsidP="00D45A11">
            <w:pPr>
              <w:rPr>
                <w:rFonts w:cstheme="minorHAnsi"/>
              </w:rPr>
            </w:pPr>
            <w:r>
              <w:rPr>
                <w:rFonts w:cstheme="minorHAnsi"/>
              </w:rPr>
              <w:t>Tim Wilkinson is now a Clinical Lecturer in the Centre for Clinical Brain Sciences at the University of Edinburgh.</w:t>
            </w:r>
          </w:p>
        </w:tc>
      </w:tr>
      <w:tr w:rsidR="00B75528" w:rsidRPr="00A75597" w14:paraId="1F1FE052" w14:textId="77777777" w:rsidTr="006524FB">
        <w:tc>
          <w:tcPr>
            <w:tcW w:w="9016" w:type="dxa"/>
            <w:shd w:val="clear" w:color="auto" w:fill="D0CECE" w:themeFill="background2" w:themeFillShade="E6"/>
          </w:tcPr>
          <w:p w14:paraId="5AB2F9A4" w14:textId="77777777" w:rsidR="00B75528" w:rsidRPr="00143F6F" w:rsidRDefault="00B75528" w:rsidP="00D45A11">
            <w:pPr>
              <w:rPr>
                <w:rFonts w:cstheme="minorHAnsi"/>
                <w:b/>
              </w:rPr>
            </w:pPr>
            <w:r w:rsidRPr="00143F6F">
              <w:rPr>
                <w:rFonts w:cstheme="minorHAnsi"/>
                <w:b/>
              </w:rPr>
              <w:t>Engagement Activities</w:t>
            </w:r>
          </w:p>
        </w:tc>
      </w:tr>
      <w:tr w:rsidR="00B75528" w:rsidRPr="00A75597" w14:paraId="4527BCF2" w14:textId="77777777" w:rsidTr="003A3061">
        <w:tc>
          <w:tcPr>
            <w:tcW w:w="9016" w:type="dxa"/>
          </w:tcPr>
          <w:p w14:paraId="3F7C28E7" w14:textId="77777777" w:rsidR="0002636F" w:rsidRPr="00171E37" w:rsidRDefault="0002636F" w:rsidP="0002636F">
            <w:pPr>
              <w:numPr>
                <w:ilvl w:val="0"/>
                <w:numId w:val="6"/>
              </w:numPr>
              <w:tabs>
                <w:tab w:val="clear" w:pos="360"/>
                <w:tab w:val="left" w:pos="504"/>
              </w:tabs>
              <w:spacing w:before="43" w:line="241" w:lineRule="exact"/>
              <w:ind w:left="504" w:hanging="360"/>
              <w:textAlignment w:val="baseline"/>
              <w:rPr>
                <w:rFonts w:ascii="Calibri" w:eastAsia="Calibri" w:hAnsi="Calibri"/>
                <w:color w:val="000000"/>
                <w:spacing w:val="-4"/>
                <w:sz w:val="23"/>
              </w:rPr>
            </w:pPr>
            <w:r w:rsidRPr="00171E37">
              <w:rPr>
                <w:rFonts w:ascii="Calibri" w:eastAsia="Calibri" w:hAnsi="Calibri"/>
                <w:color w:val="000000"/>
                <w:spacing w:val="-4"/>
                <w:sz w:val="23"/>
              </w:rPr>
              <w:t>UK Biobank annual conference. T Wilkinson. Identifying dementia cases in UK Biobank using routinely collected health data. June 2016</w:t>
            </w:r>
          </w:p>
          <w:p w14:paraId="193A0C6C" w14:textId="77777777" w:rsidR="0002636F" w:rsidRPr="00171E37" w:rsidRDefault="0002636F" w:rsidP="0002636F">
            <w:pPr>
              <w:numPr>
                <w:ilvl w:val="0"/>
                <w:numId w:val="6"/>
              </w:numPr>
              <w:tabs>
                <w:tab w:val="clear" w:pos="360"/>
                <w:tab w:val="left" w:pos="504"/>
              </w:tabs>
              <w:spacing w:before="37" w:line="241" w:lineRule="exact"/>
              <w:ind w:left="504" w:hanging="360"/>
              <w:textAlignment w:val="baseline"/>
              <w:rPr>
                <w:rFonts w:ascii="Calibri" w:eastAsia="Calibri" w:hAnsi="Calibri"/>
                <w:color w:val="000000"/>
                <w:spacing w:val="-4"/>
                <w:sz w:val="23"/>
              </w:rPr>
            </w:pPr>
            <w:r w:rsidRPr="00171E37">
              <w:rPr>
                <w:rFonts w:ascii="Calibri" w:eastAsia="Calibri" w:hAnsi="Calibri"/>
                <w:color w:val="000000"/>
                <w:spacing w:val="-4"/>
                <w:sz w:val="23"/>
              </w:rPr>
              <w:lastRenderedPageBreak/>
              <w:t>DPUK/EMIF joint conference. T Wilkinson. Identifying dementia in prospective population-based studies. March 2017.</w:t>
            </w:r>
          </w:p>
          <w:p w14:paraId="62FB514A" w14:textId="77777777" w:rsidR="0002636F" w:rsidRPr="00171E37" w:rsidRDefault="0002636F" w:rsidP="0002636F">
            <w:pPr>
              <w:numPr>
                <w:ilvl w:val="0"/>
                <w:numId w:val="6"/>
              </w:numPr>
              <w:tabs>
                <w:tab w:val="clear" w:pos="360"/>
                <w:tab w:val="left" w:pos="504"/>
              </w:tabs>
              <w:spacing w:before="38" w:line="241" w:lineRule="exact"/>
              <w:ind w:left="504" w:hanging="360"/>
              <w:textAlignment w:val="baseline"/>
              <w:rPr>
                <w:rFonts w:ascii="Calibri" w:eastAsia="Calibri" w:hAnsi="Calibri"/>
                <w:color w:val="000000"/>
                <w:spacing w:val="-3"/>
                <w:sz w:val="23"/>
              </w:rPr>
            </w:pPr>
            <w:r w:rsidRPr="00171E37">
              <w:rPr>
                <w:rFonts w:ascii="Calibri" w:eastAsia="Calibri" w:hAnsi="Calibri"/>
                <w:color w:val="000000"/>
                <w:spacing w:val="-3"/>
                <w:sz w:val="23"/>
              </w:rPr>
              <w:t>Informatics for Health conference. A Ly. Dementia case ascertainment in population-based cohort studies –lessons from the Whitehall II study. April 2017</w:t>
            </w:r>
          </w:p>
          <w:p w14:paraId="5E6A7DB7" w14:textId="77777777" w:rsidR="0002636F" w:rsidRPr="00171E37" w:rsidRDefault="0002636F" w:rsidP="0002636F">
            <w:pPr>
              <w:numPr>
                <w:ilvl w:val="0"/>
                <w:numId w:val="6"/>
              </w:numPr>
              <w:tabs>
                <w:tab w:val="clear" w:pos="360"/>
                <w:tab w:val="left" w:pos="504"/>
              </w:tabs>
              <w:spacing w:before="42" w:line="241" w:lineRule="exact"/>
              <w:ind w:left="504" w:hanging="360"/>
              <w:textAlignment w:val="baseline"/>
              <w:rPr>
                <w:rFonts w:ascii="Calibri" w:eastAsia="Calibri" w:hAnsi="Calibri"/>
                <w:color w:val="000000"/>
                <w:spacing w:val="-4"/>
                <w:sz w:val="23"/>
              </w:rPr>
            </w:pPr>
            <w:r w:rsidRPr="00171E37">
              <w:rPr>
                <w:rFonts w:ascii="Calibri" w:eastAsia="Calibri" w:hAnsi="Calibri"/>
                <w:color w:val="000000"/>
                <w:spacing w:val="-4"/>
                <w:sz w:val="23"/>
              </w:rPr>
              <w:t>DPUK annual conference. A Ly. Dementia case ascertainment in population-based cohort studies –lessons from the Whitehall II study. May 2017</w:t>
            </w:r>
          </w:p>
          <w:p w14:paraId="3665BCA8" w14:textId="77777777" w:rsidR="0002636F" w:rsidRPr="00171E37" w:rsidRDefault="0002636F" w:rsidP="0002636F">
            <w:pPr>
              <w:numPr>
                <w:ilvl w:val="0"/>
                <w:numId w:val="6"/>
              </w:numPr>
              <w:tabs>
                <w:tab w:val="clear" w:pos="360"/>
                <w:tab w:val="left" w:pos="504"/>
              </w:tabs>
              <w:spacing w:before="37" w:line="241" w:lineRule="exact"/>
              <w:ind w:left="504" w:hanging="360"/>
              <w:textAlignment w:val="baseline"/>
              <w:rPr>
                <w:rFonts w:ascii="Calibri" w:eastAsia="Calibri" w:hAnsi="Calibri"/>
                <w:color w:val="000000"/>
                <w:spacing w:val="-4"/>
                <w:sz w:val="23"/>
              </w:rPr>
            </w:pPr>
            <w:r w:rsidRPr="00171E37">
              <w:rPr>
                <w:rFonts w:ascii="Calibri" w:eastAsia="Calibri" w:hAnsi="Calibri"/>
                <w:color w:val="000000"/>
                <w:spacing w:val="-4"/>
                <w:sz w:val="23"/>
              </w:rPr>
              <w:t>DPUK annual conference. C Sudlow. Ascertaining dementia outcomes. May 2017</w:t>
            </w:r>
          </w:p>
          <w:p w14:paraId="24ED782B" w14:textId="77777777" w:rsidR="00B75528" w:rsidRDefault="00B75528" w:rsidP="00D45A11">
            <w:pPr>
              <w:rPr>
                <w:rFonts w:cstheme="minorHAnsi"/>
              </w:rPr>
            </w:pPr>
          </w:p>
        </w:tc>
      </w:tr>
      <w:tr w:rsidR="00B75528" w:rsidRPr="00A75597" w14:paraId="2EBDA6B9" w14:textId="77777777" w:rsidTr="007B2813">
        <w:tc>
          <w:tcPr>
            <w:tcW w:w="9016" w:type="dxa"/>
            <w:shd w:val="clear" w:color="auto" w:fill="D0CECE" w:themeFill="background2" w:themeFillShade="E6"/>
          </w:tcPr>
          <w:p w14:paraId="20887A04" w14:textId="77777777" w:rsidR="00B75528" w:rsidRPr="00143F6F" w:rsidRDefault="00B75528" w:rsidP="00D45A11">
            <w:pPr>
              <w:rPr>
                <w:rFonts w:cstheme="minorHAnsi"/>
                <w:b/>
              </w:rPr>
            </w:pPr>
            <w:r w:rsidRPr="00143F6F">
              <w:rPr>
                <w:rFonts w:cstheme="minorHAnsi"/>
                <w:b/>
              </w:rPr>
              <w:lastRenderedPageBreak/>
              <w:t>Influence of policy, practice, patients &amp; the public</w:t>
            </w:r>
          </w:p>
        </w:tc>
      </w:tr>
      <w:tr w:rsidR="00B75528" w:rsidRPr="00A75597" w14:paraId="0D391060" w14:textId="77777777" w:rsidTr="00C14993">
        <w:tc>
          <w:tcPr>
            <w:tcW w:w="9016" w:type="dxa"/>
          </w:tcPr>
          <w:p w14:paraId="3CB1D4AF" w14:textId="70D39BBB" w:rsidR="00B75528" w:rsidRDefault="00CF6C94" w:rsidP="00497CAC">
            <w:pPr>
              <w:rPr>
                <w:rFonts w:cstheme="minorHAnsi"/>
              </w:rPr>
            </w:pPr>
            <w:r w:rsidRPr="00171E37">
              <w:rPr>
                <w:rFonts w:ascii="Calibri" w:eastAsia="Calibri" w:hAnsi="Calibri"/>
                <w:color w:val="000000"/>
              </w:rPr>
              <w:t xml:space="preserve">Researchers can now apply the </w:t>
            </w:r>
            <w:r>
              <w:rPr>
                <w:rFonts w:ascii="Calibri" w:eastAsia="Calibri" w:hAnsi="Calibri"/>
                <w:color w:val="000000"/>
              </w:rPr>
              <w:t xml:space="preserve">developed </w:t>
            </w:r>
            <w:r w:rsidRPr="00171E37">
              <w:rPr>
                <w:rFonts w:ascii="Calibri" w:eastAsia="Calibri" w:hAnsi="Calibri"/>
                <w:color w:val="000000"/>
              </w:rPr>
              <w:t>algorithms for a whole range of use cases and could in future use them to create e-cohorts for PD</w:t>
            </w:r>
            <w:r>
              <w:rPr>
                <w:rFonts w:ascii="Calibri" w:eastAsia="Calibri" w:hAnsi="Calibri"/>
                <w:color w:val="000000"/>
              </w:rPr>
              <w:t xml:space="preserve"> and</w:t>
            </w:r>
            <w:r w:rsidRPr="00171E37">
              <w:rPr>
                <w:rFonts w:ascii="Calibri" w:eastAsia="Calibri" w:hAnsi="Calibri"/>
                <w:color w:val="000000"/>
              </w:rPr>
              <w:t xml:space="preserve"> MND</w:t>
            </w:r>
            <w:r>
              <w:rPr>
                <w:rFonts w:ascii="Calibri" w:eastAsia="Calibri" w:hAnsi="Calibri"/>
                <w:color w:val="000000"/>
              </w:rPr>
              <w:t>.  Further advances will be possible</w:t>
            </w:r>
            <w:r w:rsidRPr="00171E37">
              <w:rPr>
                <w:rFonts w:ascii="Calibri" w:eastAsia="Calibri" w:hAnsi="Calibri"/>
                <w:color w:val="000000"/>
              </w:rPr>
              <w:t xml:space="preserve"> </w:t>
            </w:r>
            <w:r>
              <w:rPr>
                <w:rFonts w:ascii="Calibri" w:eastAsia="Calibri" w:hAnsi="Calibri"/>
                <w:color w:val="000000"/>
              </w:rPr>
              <w:t>by</w:t>
            </w:r>
            <w:r w:rsidRPr="00171E37">
              <w:rPr>
                <w:rFonts w:ascii="Calibri" w:eastAsia="Calibri" w:hAnsi="Calibri"/>
                <w:color w:val="000000"/>
              </w:rPr>
              <w:t xml:space="preserve"> recreat</w:t>
            </w:r>
            <w:r>
              <w:rPr>
                <w:rFonts w:ascii="Calibri" w:eastAsia="Calibri" w:hAnsi="Calibri"/>
                <w:color w:val="000000"/>
              </w:rPr>
              <w:t>ing</w:t>
            </w:r>
            <w:r w:rsidRPr="00171E37">
              <w:rPr>
                <w:rFonts w:ascii="Calibri" w:eastAsia="Calibri" w:hAnsi="Calibri"/>
                <w:color w:val="000000"/>
              </w:rPr>
              <w:t xml:space="preserve"> the Dementia e-cohort in other UK nations as the work </w:t>
            </w:r>
            <w:r>
              <w:rPr>
                <w:rFonts w:ascii="Calibri" w:eastAsia="Calibri" w:hAnsi="Calibri"/>
                <w:color w:val="000000"/>
              </w:rPr>
              <w:t>of</w:t>
            </w:r>
            <w:r w:rsidRPr="00171E37">
              <w:rPr>
                <w:rFonts w:ascii="Calibri" w:eastAsia="Calibri" w:hAnsi="Calibri"/>
                <w:color w:val="000000"/>
              </w:rPr>
              <w:t xml:space="preserve"> HDRUK and others</w:t>
            </w:r>
            <w:r>
              <w:rPr>
                <w:rFonts w:ascii="Calibri" w:eastAsia="Calibri" w:hAnsi="Calibri"/>
                <w:color w:val="000000"/>
              </w:rPr>
              <w:t xml:space="preserve"> progresses</w:t>
            </w:r>
            <w:r w:rsidRPr="00171E37">
              <w:rPr>
                <w:rFonts w:ascii="Calibri" w:eastAsia="Calibri" w:hAnsi="Calibri"/>
                <w:color w:val="000000"/>
              </w:rPr>
              <w:t xml:space="preserve"> to link up General Practice and hospital records across the four </w:t>
            </w:r>
            <w:r>
              <w:rPr>
                <w:rFonts w:ascii="Calibri" w:eastAsia="Calibri" w:hAnsi="Calibri"/>
                <w:color w:val="000000"/>
              </w:rPr>
              <w:t xml:space="preserve">UK </w:t>
            </w:r>
            <w:r w:rsidRPr="00171E37">
              <w:rPr>
                <w:rFonts w:ascii="Calibri" w:eastAsia="Calibri" w:hAnsi="Calibri"/>
                <w:color w:val="000000"/>
              </w:rPr>
              <w:t>nations</w:t>
            </w:r>
            <w:r w:rsidR="00497CAC">
              <w:rPr>
                <w:rFonts w:ascii="Calibri" w:eastAsia="Calibri" w:hAnsi="Calibri"/>
                <w:color w:val="000000"/>
              </w:rPr>
              <w:t>.</w:t>
            </w:r>
          </w:p>
        </w:tc>
      </w:tr>
      <w:tr w:rsidR="00B75528" w:rsidRPr="00A75597" w14:paraId="6A2C4F60" w14:textId="77777777" w:rsidTr="00C2323A">
        <w:tc>
          <w:tcPr>
            <w:tcW w:w="9016" w:type="dxa"/>
            <w:shd w:val="clear" w:color="auto" w:fill="D0CECE" w:themeFill="background2" w:themeFillShade="E6"/>
          </w:tcPr>
          <w:p w14:paraId="6135DB56" w14:textId="77777777" w:rsidR="00B75528" w:rsidRPr="00143F6F" w:rsidRDefault="00143F6F" w:rsidP="00D45A11">
            <w:pPr>
              <w:rPr>
                <w:rFonts w:cstheme="minorHAnsi"/>
                <w:b/>
              </w:rPr>
            </w:pPr>
            <w:r>
              <w:rPr>
                <w:rFonts w:cstheme="minorHAnsi"/>
                <w:b/>
              </w:rPr>
              <w:t>Research Tools &amp; M</w:t>
            </w:r>
            <w:r w:rsidR="00B75528" w:rsidRPr="00143F6F">
              <w:rPr>
                <w:rFonts w:cstheme="minorHAnsi"/>
                <w:b/>
              </w:rPr>
              <w:t>ethods</w:t>
            </w:r>
          </w:p>
        </w:tc>
      </w:tr>
      <w:tr w:rsidR="00B75528" w:rsidRPr="00A75597" w14:paraId="078CFD8E" w14:textId="77777777" w:rsidTr="00A47AAB">
        <w:tc>
          <w:tcPr>
            <w:tcW w:w="9016" w:type="dxa"/>
          </w:tcPr>
          <w:p w14:paraId="5D0E3B3B" w14:textId="1C457A55" w:rsidR="0002636F" w:rsidRPr="00171E37" w:rsidRDefault="0002636F" w:rsidP="0002636F">
            <w:pPr>
              <w:spacing w:before="308" w:line="229" w:lineRule="exact"/>
              <w:textAlignment w:val="baseline"/>
              <w:rPr>
                <w:rFonts w:ascii="Calibri" w:eastAsia="Calibri" w:hAnsi="Calibri"/>
                <w:b/>
                <w:color w:val="000000"/>
                <w:spacing w:val="-2"/>
              </w:rPr>
            </w:pPr>
            <w:r w:rsidRPr="00171E37">
              <w:rPr>
                <w:rFonts w:ascii="Calibri" w:eastAsia="Calibri" w:hAnsi="Calibri"/>
                <w:b/>
                <w:color w:val="000000"/>
                <w:spacing w:val="-2"/>
              </w:rPr>
              <w:t xml:space="preserve">ALGORITHMS </w:t>
            </w:r>
          </w:p>
          <w:p w14:paraId="06031F4D" w14:textId="77777777" w:rsidR="0002636F" w:rsidRPr="00171E37" w:rsidRDefault="0002636F" w:rsidP="0002636F">
            <w:pPr>
              <w:pStyle w:val="ListParagraph"/>
              <w:numPr>
                <w:ilvl w:val="0"/>
                <w:numId w:val="7"/>
              </w:numPr>
              <w:rPr>
                <w:rFonts w:ascii="Calibri" w:eastAsia="Calibri" w:hAnsi="Calibri"/>
                <w:color w:val="000000"/>
                <w:spacing w:val="-7"/>
                <w:sz w:val="23"/>
              </w:rPr>
            </w:pPr>
            <w:r w:rsidRPr="00171E37">
              <w:rPr>
                <w:rFonts w:ascii="Calibri" w:eastAsia="Calibri" w:hAnsi="Calibri"/>
                <w:color w:val="000000"/>
                <w:spacing w:val="-7"/>
                <w:sz w:val="23"/>
              </w:rPr>
              <w:t>Dementia algorithm – for details see Wilkinson T., et al. Identifying dementia outcomes in UK Biobank: a validation study of primary care, hospital admissions and mortality data. Eur J Epidemiol. 2019 Feb 26. doi: 10.1007/s10654-019-00499-1.</w:t>
            </w:r>
          </w:p>
          <w:p w14:paraId="40D490C8" w14:textId="77777777" w:rsidR="0002636F" w:rsidRPr="00171E37" w:rsidRDefault="0002636F" w:rsidP="0002636F">
            <w:pPr>
              <w:numPr>
                <w:ilvl w:val="0"/>
                <w:numId w:val="6"/>
              </w:numPr>
              <w:tabs>
                <w:tab w:val="clear" w:pos="360"/>
                <w:tab w:val="left" w:pos="504"/>
              </w:tabs>
              <w:spacing w:before="37" w:line="241" w:lineRule="exact"/>
              <w:ind w:left="504" w:hanging="360"/>
              <w:textAlignment w:val="baseline"/>
              <w:rPr>
                <w:rFonts w:ascii="Calibri" w:eastAsia="Calibri" w:hAnsi="Calibri"/>
                <w:color w:val="000000"/>
                <w:spacing w:val="-5"/>
                <w:sz w:val="23"/>
              </w:rPr>
            </w:pPr>
            <w:r w:rsidRPr="00171E37">
              <w:rPr>
                <w:rFonts w:ascii="Calibri" w:eastAsia="Calibri" w:hAnsi="Calibri"/>
                <w:color w:val="000000"/>
                <w:spacing w:val="-5"/>
                <w:sz w:val="23"/>
              </w:rPr>
              <w:t xml:space="preserve">Parkinson’s Disease algorithm - </w:t>
            </w:r>
            <w:hyperlink r:id="rId10" w:history="1">
              <w:r w:rsidRPr="00171E37">
                <w:rPr>
                  <w:rStyle w:val="Hyperlink"/>
                  <w:rFonts w:ascii="Calibri" w:eastAsia="Calibri" w:hAnsi="Calibri"/>
                  <w:spacing w:val="-5"/>
                  <w:sz w:val="23"/>
                </w:rPr>
                <w:t>https://biobank.ndph.ox.ac.uk/showcase/showcase/docs/alg_outcome_pdp.pdf</w:t>
              </w:r>
            </w:hyperlink>
          </w:p>
          <w:p w14:paraId="35C33142" w14:textId="77777777" w:rsidR="0002636F" w:rsidRPr="00171E37" w:rsidRDefault="0002636F" w:rsidP="0002636F">
            <w:pPr>
              <w:numPr>
                <w:ilvl w:val="0"/>
                <w:numId w:val="6"/>
              </w:numPr>
              <w:tabs>
                <w:tab w:val="clear" w:pos="360"/>
                <w:tab w:val="left" w:pos="504"/>
              </w:tabs>
              <w:spacing w:before="42" w:line="241" w:lineRule="exact"/>
              <w:ind w:left="504" w:hanging="360"/>
              <w:textAlignment w:val="baseline"/>
              <w:rPr>
                <w:rFonts w:ascii="Calibri" w:eastAsia="Calibri" w:hAnsi="Calibri"/>
                <w:color w:val="000000"/>
                <w:spacing w:val="-5"/>
                <w:sz w:val="23"/>
              </w:rPr>
            </w:pPr>
            <w:r w:rsidRPr="00171E37">
              <w:rPr>
                <w:rFonts w:ascii="Calibri" w:eastAsia="Calibri" w:hAnsi="Calibri"/>
                <w:color w:val="000000"/>
                <w:spacing w:val="-5"/>
                <w:sz w:val="23"/>
              </w:rPr>
              <w:t xml:space="preserve">Motor Neurone Disease algorithm -  </w:t>
            </w:r>
            <w:hyperlink r:id="rId11" w:history="1">
              <w:r w:rsidRPr="00171E37">
                <w:rPr>
                  <w:rStyle w:val="Hyperlink"/>
                  <w:rFonts w:ascii="Calibri" w:eastAsia="Calibri" w:hAnsi="Calibri"/>
                  <w:spacing w:val="-5"/>
                  <w:sz w:val="23"/>
                </w:rPr>
                <w:t>https://biobank.ndph.ox.ac.uk/showcase/showcase/docs/alg_outcome_mnd.pdf</w:t>
              </w:r>
            </w:hyperlink>
          </w:p>
          <w:p w14:paraId="40EE0D9C" w14:textId="77777777" w:rsidR="00B75528" w:rsidRDefault="00B75528" w:rsidP="00D45A11">
            <w:pPr>
              <w:rPr>
                <w:rFonts w:cstheme="minorHAnsi"/>
              </w:rPr>
            </w:pPr>
          </w:p>
        </w:tc>
      </w:tr>
      <w:tr w:rsidR="00B75528" w:rsidRPr="00A75597" w14:paraId="49DFE314" w14:textId="77777777" w:rsidTr="006441C0">
        <w:tc>
          <w:tcPr>
            <w:tcW w:w="9016" w:type="dxa"/>
            <w:shd w:val="clear" w:color="auto" w:fill="D0CECE" w:themeFill="background2" w:themeFillShade="E6"/>
          </w:tcPr>
          <w:p w14:paraId="46E7E8EF" w14:textId="77777777" w:rsidR="00B75528" w:rsidRPr="00143F6F" w:rsidRDefault="00B75528" w:rsidP="00D45A11">
            <w:pPr>
              <w:rPr>
                <w:rFonts w:cstheme="minorHAnsi"/>
                <w:b/>
              </w:rPr>
            </w:pPr>
            <w:r w:rsidRPr="00143F6F">
              <w:rPr>
                <w:rFonts w:cstheme="minorHAnsi"/>
                <w:b/>
              </w:rPr>
              <w:t>Research Databases &amp; Models</w:t>
            </w:r>
          </w:p>
        </w:tc>
      </w:tr>
      <w:tr w:rsidR="00B75528" w:rsidRPr="00A75597" w14:paraId="72718D17" w14:textId="77777777" w:rsidTr="00951B0E">
        <w:tc>
          <w:tcPr>
            <w:tcW w:w="9016" w:type="dxa"/>
          </w:tcPr>
          <w:p w14:paraId="2D175055" w14:textId="3C66B2D2" w:rsidR="00B75528" w:rsidRDefault="00CF6C94" w:rsidP="00D45A11">
            <w:pPr>
              <w:rPr>
                <w:rFonts w:cstheme="minorHAnsi"/>
              </w:rPr>
            </w:pPr>
            <w:r>
              <w:rPr>
                <w:rFonts w:cstheme="minorHAnsi"/>
              </w:rPr>
              <w:t>See above re algorithms</w:t>
            </w:r>
          </w:p>
        </w:tc>
      </w:tr>
      <w:tr w:rsidR="00B226AE" w:rsidRPr="00A75597" w14:paraId="425CD4BC" w14:textId="77777777" w:rsidTr="00EE1F09">
        <w:tc>
          <w:tcPr>
            <w:tcW w:w="9016" w:type="dxa"/>
            <w:shd w:val="clear" w:color="auto" w:fill="D0CECE" w:themeFill="background2" w:themeFillShade="E6"/>
          </w:tcPr>
          <w:p w14:paraId="093E9EC0" w14:textId="77777777" w:rsidR="00B226AE" w:rsidRPr="00143F6F" w:rsidRDefault="00B226AE" w:rsidP="00D45A11">
            <w:pPr>
              <w:rPr>
                <w:rFonts w:cstheme="minorHAnsi"/>
                <w:b/>
              </w:rPr>
            </w:pPr>
            <w:r w:rsidRPr="00143F6F">
              <w:rPr>
                <w:rFonts w:cstheme="minorHAnsi"/>
                <w:b/>
              </w:rPr>
              <w:t>Intellectual property &amp; licencing</w:t>
            </w:r>
          </w:p>
        </w:tc>
      </w:tr>
      <w:tr w:rsidR="00B226AE" w:rsidRPr="00A75597" w14:paraId="6151BAB8" w14:textId="77777777" w:rsidTr="009B5CA4">
        <w:tc>
          <w:tcPr>
            <w:tcW w:w="9016" w:type="dxa"/>
          </w:tcPr>
          <w:p w14:paraId="7E5A17D8" w14:textId="46F7416C" w:rsidR="00B226AE" w:rsidRDefault="0002636F" w:rsidP="00D45A11">
            <w:pPr>
              <w:rPr>
                <w:rFonts w:cstheme="minorHAnsi"/>
              </w:rPr>
            </w:pPr>
            <w:r>
              <w:rPr>
                <w:rFonts w:cstheme="minorHAnsi"/>
              </w:rPr>
              <w:t>N/A</w:t>
            </w:r>
          </w:p>
        </w:tc>
      </w:tr>
      <w:tr w:rsidR="00B226AE" w:rsidRPr="00A75597" w14:paraId="0043FB44" w14:textId="77777777" w:rsidTr="00872720">
        <w:tc>
          <w:tcPr>
            <w:tcW w:w="9016" w:type="dxa"/>
            <w:shd w:val="clear" w:color="auto" w:fill="D0CECE" w:themeFill="background2" w:themeFillShade="E6"/>
          </w:tcPr>
          <w:p w14:paraId="17750B6C" w14:textId="77777777" w:rsidR="00B226AE" w:rsidRPr="00143F6F" w:rsidRDefault="00B226AE" w:rsidP="00D45A11">
            <w:pPr>
              <w:rPr>
                <w:rFonts w:cstheme="minorHAnsi"/>
                <w:b/>
              </w:rPr>
            </w:pPr>
            <w:r w:rsidRPr="00143F6F">
              <w:rPr>
                <w:rFonts w:cstheme="minorHAnsi"/>
                <w:b/>
              </w:rPr>
              <w:t>Medical products, interventions &amp; clinical trials</w:t>
            </w:r>
          </w:p>
        </w:tc>
      </w:tr>
      <w:tr w:rsidR="00B226AE" w:rsidRPr="00A75597" w14:paraId="01592F7E" w14:textId="77777777" w:rsidTr="00E65F68">
        <w:tc>
          <w:tcPr>
            <w:tcW w:w="9016" w:type="dxa"/>
          </w:tcPr>
          <w:p w14:paraId="4B0B08B0" w14:textId="1B4C85B7" w:rsidR="00B226AE" w:rsidRDefault="0002636F" w:rsidP="00D45A11">
            <w:pPr>
              <w:rPr>
                <w:rFonts w:cstheme="minorHAnsi"/>
              </w:rPr>
            </w:pPr>
            <w:r>
              <w:rPr>
                <w:rFonts w:cstheme="minorHAnsi"/>
              </w:rPr>
              <w:t>N/A</w:t>
            </w:r>
          </w:p>
        </w:tc>
      </w:tr>
      <w:tr w:rsidR="00B226AE" w:rsidRPr="00A75597" w14:paraId="1FB69649" w14:textId="77777777" w:rsidTr="00E73FE0">
        <w:tc>
          <w:tcPr>
            <w:tcW w:w="9016" w:type="dxa"/>
            <w:shd w:val="clear" w:color="auto" w:fill="D0CECE" w:themeFill="background2" w:themeFillShade="E6"/>
          </w:tcPr>
          <w:p w14:paraId="557FB7AF" w14:textId="77777777" w:rsidR="00B226AE" w:rsidRPr="00143F6F" w:rsidRDefault="00B226AE" w:rsidP="00D45A11">
            <w:pPr>
              <w:rPr>
                <w:rFonts w:cstheme="minorHAnsi"/>
                <w:b/>
              </w:rPr>
            </w:pPr>
            <w:r w:rsidRPr="00143F6F">
              <w:rPr>
                <w:rFonts w:cstheme="minorHAnsi"/>
                <w:b/>
              </w:rPr>
              <w:t>Artistic &amp; creative products</w:t>
            </w:r>
          </w:p>
        </w:tc>
      </w:tr>
      <w:tr w:rsidR="00B226AE" w:rsidRPr="00A75597" w14:paraId="12FDDAD6" w14:textId="77777777" w:rsidTr="00F37180">
        <w:tc>
          <w:tcPr>
            <w:tcW w:w="9016" w:type="dxa"/>
          </w:tcPr>
          <w:p w14:paraId="3AB02811" w14:textId="7AD79BD0" w:rsidR="00B226AE" w:rsidRDefault="0002636F" w:rsidP="00D45A11">
            <w:pPr>
              <w:rPr>
                <w:rFonts w:cstheme="minorHAnsi"/>
              </w:rPr>
            </w:pPr>
            <w:r>
              <w:rPr>
                <w:rFonts w:cstheme="minorHAnsi"/>
              </w:rPr>
              <w:t>N/A</w:t>
            </w:r>
          </w:p>
        </w:tc>
      </w:tr>
      <w:tr w:rsidR="00B226AE" w:rsidRPr="00A75597" w14:paraId="1A7F7E02" w14:textId="77777777" w:rsidTr="00B226AE">
        <w:tc>
          <w:tcPr>
            <w:tcW w:w="9016" w:type="dxa"/>
            <w:shd w:val="clear" w:color="auto" w:fill="D0CECE" w:themeFill="background2" w:themeFillShade="E6"/>
          </w:tcPr>
          <w:p w14:paraId="2FC1023C" w14:textId="77777777" w:rsidR="00B226AE" w:rsidRPr="00143F6F" w:rsidRDefault="00B226AE" w:rsidP="00D45A11">
            <w:pPr>
              <w:rPr>
                <w:rFonts w:cstheme="minorHAnsi"/>
                <w:b/>
              </w:rPr>
            </w:pPr>
            <w:r w:rsidRPr="00143F6F">
              <w:rPr>
                <w:rFonts w:cstheme="minorHAnsi"/>
                <w:b/>
              </w:rPr>
              <w:t>Software &amp; technical products</w:t>
            </w:r>
          </w:p>
        </w:tc>
      </w:tr>
      <w:tr w:rsidR="00B226AE" w:rsidRPr="00A75597" w14:paraId="4E0FDD80" w14:textId="77777777" w:rsidTr="002137BB">
        <w:tc>
          <w:tcPr>
            <w:tcW w:w="9016" w:type="dxa"/>
          </w:tcPr>
          <w:p w14:paraId="2811CDC6" w14:textId="1105DB86" w:rsidR="00B226AE" w:rsidRDefault="0002636F" w:rsidP="00D45A11">
            <w:pPr>
              <w:rPr>
                <w:rFonts w:cstheme="minorHAnsi"/>
              </w:rPr>
            </w:pPr>
            <w:r>
              <w:rPr>
                <w:rFonts w:cstheme="minorHAnsi"/>
              </w:rPr>
              <w:lastRenderedPageBreak/>
              <w:t>N/A</w:t>
            </w:r>
          </w:p>
        </w:tc>
      </w:tr>
      <w:tr w:rsidR="00B226AE" w:rsidRPr="00A75597" w14:paraId="1B565F19" w14:textId="77777777" w:rsidTr="00B226AE">
        <w:tc>
          <w:tcPr>
            <w:tcW w:w="9016" w:type="dxa"/>
            <w:shd w:val="clear" w:color="auto" w:fill="D0CECE" w:themeFill="background2" w:themeFillShade="E6"/>
          </w:tcPr>
          <w:p w14:paraId="51B156A8" w14:textId="77777777" w:rsidR="00B226AE" w:rsidRPr="00143F6F" w:rsidRDefault="00B226AE" w:rsidP="00D45A11">
            <w:pPr>
              <w:rPr>
                <w:rFonts w:cstheme="minorHAnsi"/>
                <w:b/>
              </w:rPr>
            </w:pPr>
            <w:r w:rsidRPr="00143F6F">
              <w:rPr>
                <w:rFonts w:cstheme="minorHAnsi"/>
                <w:b/>
              </w:rPr>
              <w:t>Spin outs</w:t>
            </w:r>
          </w:p>
        </w:tc>
      </w:tr>
      <w:tr w:rsidR="00B226AE" w:rsidRPr="00A75597" w14:paraId="7F0F08B1" w14:textId="77777777" w:rsidTr="00CF415D">
        <w:tc>
          <w:tcPr>
            <w:tcW w:w="9016" w:type="dxa"/>
          </w:tcPr>
          <w:p w14:paraId="5B8B036B" w14:textId="4B8BD010" w:rsidR="00B226AE" w:rsidRDefault="0002636F" w:rsidP="00D45A11">
            <w:pPr>
              <w:rPr>
                <w:rFonts w:cstheme="minorHAnsi"/>
              </w:rPr>
            </w:pPr>
            <w:r>
              <w:rPr>
                <w:rFonts w:cstheme="minorHAnsi"/>
              </w:rPr>
              <w:t>N/A</w:t>
            </w:r>
          </w:p>
        </w:tc>
      </w:tr>
      <w:tr w:rsidR="00B75528" w:rsidRPr="00A75597" w14:paraId="2ABEB50E" w14:textId="77777777" w:rsidTr="0085024C">
        <w:tc>
          <w:tcPr>
            <w:tcW w:w="9016" w:type="dxa"/>
            <w:shd w:val="clear" w:color="auto" w:fill="D0CECE" w:themeFill="background2" w:themeFillShade="E6"/>
          </w:tcPr>
          <w:p w14:paraId="7ECD72EC" w14:textId="77777777" w:rsidR="00B75528" w:rsidRPr="00143F6F" w:rsidRDefault="00B75528" w:rsidP="00D45A11">
            <w:pPr>
              <w:rPr>
                <w:rFonts w:cstheme="minorHAnsi"/>
                <w:b/>
              </w:rPr>
            </w:pPr>
            <w:r w:rsidRPr="00143F6F">
              <w:rPr>
                <w:rFonts w:cstheme="minorHAnsi"/>
                <w:b/>
              </w:rPr>
              <w:t>Awards &amp; recognition</w:t>
            </w:r>
          </w:p>
        </w:tc>
      </w:tr>
      <w:tr w:rsidR="00B75528" w:rsidRPr="00A75597" w14:paraId="0DFE5BBD" w14:textId="77777777" w:rsidTr="00FE3C0B">
        <w:tc>
          <w:tcPr>
            <w:tcW w:w="9016" w:type="dxa"/>
          </w:tcPr>
          <w:p w14:paraId="7134B486" w14:textId="4052D982" w:rsidR="00B75528" w:rsidRPr="0002636F" w:rsidRDefault="0002636F" w:rsidP="0002636F">
            <w:r w:rsidRPr="0002636F">
              <w:rPr>
                <w:shd w:val="clear" w:color="auto" w:fill="FFFFFF"/>
              </w:rPr>
              <w:t>Cathie Sudlow was awarded an OBE in the Queen’s Birthday Honours 2020</w:t>
            </w:r>
            <w:r w:rsidR="004A4FB8">
              <w:rPr>
                <w:shd w:val="clear" w:color="auto" w:fill="FFFFFF"/>
              </w:rPr>
              <w:t>.</w:t>
            </w:r>
          </w:p>
        </w:tc>
      </w:tr>
      <w:tr w:rsidR="00B75528" w:rsidRPr="00A75597" w14:paraId="3B852898" w14:textId="77777777" w:rsidTr="00AC2D6E">
        <w:tc>
          <w:tcPr>
            <w:tcW w:w="9016" w:type="dxa"/>
            <w:shd w:val="clear" w:color="auto" w:fill="D0CECE" w:themeFill="background2" w:themeFillShade="E6"/>
          </w:tcPr>
          <w:p w14:paraId="72121A3A" w14:textId="77777777" w:rsidR="00B75528" w:rsidRPr="00143F6F" w:rsidRDefault="00B75528" w:rsidP="00D45A11">
            <w:pPr>
              <w:rPr>
                <w:rFonts w:cstheme="minorHAnsi"/>
                <w:b/>
              </w:rPr>
            </w:pPr>
            <w:r w:rsidRPr="00143F6F">
              <w:rPr>
                <w:rFonts w:cstheme="minorHAnsi"/>
                <w:b/>
              </w:rPr>
              <w:t>Other outputs &amp; knowledge/future steps</w:t>
            </w:r>
          </w:p>
        </w:tc>
      </w:tr>
      <w:tr w:rsidR="00B75528" w:rsidRPr="00A75597" w14:paraId="212F0AD1" w14:textId="77777777" w:rsidTr="00C9196C">
        <w:tc>
          <w:tcPr>
            <w:tcW w:w="9016" w:type="dxa"/>
          </w:tcPr>
          <w:p w14:paraId="7E731D11" w14:textId="2DC6BE38" w:rsidR="00B75528" w:rsidRDefault="0002636F" w:rsidP="00030CEC">
            <w:pPr>
              <w:rPr>
                <w:rFonts w:cstheme="minorHAnsi"/>
              </w:rPr>
            </w:pPr>
            <w:r>
              <w:rPr>
                <w:rFonts w:cstheme="minorHAnsi"/>
              </w:rPr>
              <w:t>The e-cohort of dementia pat</w:t>
            </w:r>
            <w:r w:rsidR="00CF6C94">
              <w:rPr>
                <w:rFonts w:cstheme="minorHAnsi"/>
              </w:rPr>
              <w:t>ients for the whole Welsh population associated with this work has already been use</w:t>
            </w:r>
            <w:r w:rsidR="00030CEC">
              <w:rPr>
                <w:rFonts w:cstheme="minorHAnsi"/>
              </w:rPr>
              <w:t xml:space="preserve">d as a resource to investigate other </w:t>
            </w:r>
            <w:r w:rsidR="00CF6C94">
              <w:rPr>
                <w:rFonts w:cstheme="minorHAnsi"/>
              </w:rPr>
              <w:t>aspects of dementia including its interrelationship with epilepsy and the socio-economic data associated with dementia patients in care homes.</w:t>
            </w:r>
          </w:p>
        </w:tc>
      </w:tr>
      <w:tr w:rsidR="00B75528" w:rsidRPr="00A75597" w14:paraId="42316031" w14:textId="77777777" w:rsidTr="00222CDE">
        <w:tc>
          <w:tcPr>
            <w:tcW w:w="9016" w:type="dxa"/>
            <w:shd w:val="clear" w:color="auto" w:fill="D0CECE" w:themeFill="background2" w:themeFillShade="E6"/>
          </w:tcPr>
          <w:p w14:paraId="24BEAE4C" w14:textId="77777777" w:rsidR="00B75528" w:rsidRPr="00143F6F" w:rsidRDefault="00B75528" w:rsidP="00B75528">
            <w:pPr>
              <w:rPr>
                <w:rFonts w:cstheme="minorHAnsi"/>
                <w:b/>
              </w:rPr>
            </w:pPr>
            <w:r w:rsidRPr="00143F6F">
              <w:rPr>
                <w:rFonts w:cstheme="minorHAnsi"/>
                <w:b/>
              </w:rPr>
              <w:t>Use of facilities &amp; resources</w:t>
            </w:r>
          </w:p>
        </w:tc>
      </w:tr>
      <w:tr w:rsidR="00B75528" w:rsidRPr="00A75597" w14:paraId="7E00CB43" w14:textId="77777777" w:rsidTr="00C533E3">
        <w:tc>
          <w:tcPr>
            <w:tcW w:w="9016" w:type="dxa"/>
          </w:tcPr>
          <w:p w14:paraId="7B4415AF" w14:textId="010A41E2" w:rsidR="00B75528" w:rsidRDefault="00CF6C94" w:rsidP="00D45A11">
            <w:pPr>
              <w:rPr>
                <w:rFonts w:cstheme="minorHAnsi"/>
              </w:rPr>
            </w:pPr>
            <w:r>
              <w:rPr>
                <w:rFonts w:cstheme="minorHAnsi"/>
              </w:rPr>
              <w:t>The work was reliant on access to linked healthcare records</w:t>
            </w:r>
            <w:r w:rsidR="00497CAC">
              <w:rPr>
                <w:rFonts w:cstheme="minorHAnsi"/>
              </w:rPr>
              <w:t>.</w:t>
            </w:r>
            <w:r>
              <w:rPr>
                <w:rFonts w:cstheme="minorHAnsi"/>
              </w:rPr>
              <w:t xml:space="preserve"> </w:t>
            </w:r>
          </w:p>
        </w:tc>
      </w:tr>
      <w:tr w:rsidR="00D45A11" w:rsidRPr="00A75597" w14:paraId="588E9ED4" w14:textId="77777777" w:rsidTr="00967422">
        <w:tc>
          <w:tcPr>
            <w:tcW w:w="9016" w:type="dxa"/>
            <w:shd w:val="clear" w:color="auto" w:fill="D0CECE" w:themeFill="background2" w:themeFillShade="E6"/>
          </w:tcPr>
          <w:p w14:paraId="7F82D0BB" w14:textId="77777777" w:rsidR="00D45A11" w:rsidRPr="00A75597" w:rsidRDefault="00D45A11" w:rsidP="00D45A11">
            <w:pPr>
              <w:rPr>
                <w:rFonts w:cstheme="minorHAnsi"/>
              </w:rPr>
            </w:pPr>
            <w:r w:rsidRPr="00A75597">
              <w:rPr>
                <w:rFonts w:cstheme="minorHAnsi"/>
                <w:b/>
              </w:rPr>
              <w:t>Most successful outcome and what it means for future dementia research</w:t>
            </w:r>
            <w:r w:rsidRPr="00A75597">
              <w:rPr>
                <w:rFonts w:cstheme="minorHAnsi"/>
              </w:rPr>
              <w:t>:</w:t>
            </w:r>
          </w:p>
        </w:tc>
      </w:tr>
      <w:tr w:rsidR="00D45A11" w:rsidRPr="00A75597" w14:paraId="45F543D8" w14:textId="77777777" w:rsidTr="004F391C">
        <w:tc>
          <w:tcPr>
            <w:tcW w:w="9016" w:type="dxa"/>
          </w:tcPr>
          <w:p w14:paraId="2DDC01C1" w14:textId="77777777" w:rsidR="00262966" w:rsidRDefault="00262966" w:rsidP="00D45A11">
            <w:pPr>
              <w:rPr>
                <w:rFonts w:ascii="Calibri" w:eastAsia="Calibri" w:hAnsi="Calibri"/>
                <w:color w:val="000000"/>
              </w:rPr>
            </w:pPr>
            <w:r w:rsidRPr="00171E37">
              <w:rPr>
                <w:rFonts w:ascii="Calibri" w:eastAsia="Calibri" w:hAnsi="Calibri"/>
                <w:color w:val="000000"/>
              </w:rPr>
              <w:t xml:space="preserve">The ability to access GP data and select the codes that indicated a diagnoses of dementia, Parkinson’s disease and Motor neurone disease led to validation studies. This work has shown that the GP codes are reliable diagnoses for these diseases. </w:t>
            </w:r>
          </w:p>
          <w:p w14:paraId="5580F114" w14:textId="77777777" w:rsidR="00262966" w:rsidRDefault="00262966" w:rsidP="00D45A11">
            <w:pPr>
              <w:rPr>
                <w:rFonts w:ascii="Calibri" w:eastAsia="Calibri" w:hAnsi="Calibri"/>
                <w:color w:val="000000"/>
              </w:rPr>
            </w:pPr>
          </w:p>
          <w:p w14:paraId="4DA8208B" w14:textId="2BE015B5" w:rsidR="00967422" w:rsidRPr="00A75597" w:rsidRDefault="00262966" w:rsidP="00262966">
            <w:pPr>
              <w:rPr>
                <w:rFonts w:cstheme="minorHAnsi"/>
              </w:rPr>
            </w:pPr>
            <w:r w:rsidRPr="00171E37">
              <w:rPr>
                <w:rFonts w:ascii="Calibri" w:eastAsia="Calibri" w:hAnsi="Calibri"/>
                <w:color w:val="000000"/>
              </w:rPr>
              <w:t>The creation of an e-Cohort of dementia patients in the SAIL databank. This work will be an ongoing resource for researchers all over the world</w:t>
            </w:r>
            <w:r>
              <w:rPr>
                <w:rFonts w:ascii="Calibri" w:eastAsia="Calibri" w:hAnsi="Calibri"/>
                <w:color w:val="000000"/>
              </w:rPr>
              <w:t>. For details of this work see the separate final report on DPUK Discovery Award: Building an e-cohort for dementia research.</w:t>
            </w:r>
          </w:p>
        </w:tc>
      </w:tr>
      <w:tr w:rsidR="00967422" w:rsidRPr="00A75597" w14:paraId="2FECA3B5" w14:textId="77777777" w:rsidTr="00967422">
        <w:tc>
          <w:tcPr>
            <w:tcW w:w="9016" w:type="dxa"/>
            <w:shd w:val="clear" w:color="auto" w:fill="D0CECE" w:themeFill="background2" w:themeFillShade="E6"/>
          </w:tcPr>
          <w:p w14:paraId="6D389D04" w14:textId="77777777" w:rsidR="00967422" w:rsidRDefault="00967422" w:rsidP="00D45A11">
            <w:pPr>
              <w:rPr>
                <w:rFonts w:cstheme="minorHAnsi"/>
              </w:rPr>
            </w:pPr>
            <w:r w:rsidRPr="00A75597">
              <w:rPr>
                <w:rFonts w:cstheme="minorHAnsi"/>
                <w:b/>
              </w:rPr>
              <w:t>Lessons learned</w:t>
            </w:r>
            <w:r w:rsidRPr="00A75597">
              <w:rPr>
                <w:rFonts w:cstheme="minorHAnsi"/>
              </w:rPr>
              <w:t>:</w:t>
            </w:r>
          </w:p>
        </w:tc>
      </w:tr>
      <w:tr w:rsidR="00967422" w:rsidRPr="00A75597" w14:paraId="3F0EC939" w14:textId="77777777" w:rsidTr="007666CE">
        <w:tc>
          <w:tcPr>
            <w:tcW w:w="9016" w:type="dxa"/>
          </w:tcPr>
          <w:p w14:paraId="55EAF51E" w14:textId="7A26395E" w:rsidR="00324412" w:rsidRPr="004A4FB8" w:rsidRDefault="00324412" w:rsidP="004A4FB8">
            <w:pPr>
              <w:pStyle w:val="ListParagraph"/>
              <w:numPr>
                <w:ilvl w:val="0"/>
                <w:numId w:val="4"/>
              </w:numPr>
              <w:rPr>
                <w:rFonts w:cstheme="minorHAnsi"/>
                <w:bCs/>
              </w:rPr>
            </w:pPr>
            <w:r w:rsidRPr="00171E37">
              <w:rPr>
                <w:rFonts w:cstheme="minorHAnsi"/>
                <w:bCs/>
              </w:rPr>
              <w:t>Working across multiple cohorts with different information governance and consent procedures has been challenging. The only cohorts that collaborated with this work package were UK Biobank, Whitehall II and Generation Scotland although many other DPUK cohorts were contacted and asked if they would work with the team.</w:t>
            </w:r>
            <w:bookmarkStart w:id="0" w:name="_GoBack"/>
            <w:bookmarkEnd w:id="0"/>
          </w:p>
          <w:p w14:paraId="31CA759D" w14:textId="77777777" w:rsidR="00967422" w:rsidRPr="00324412" w:rsidRDefault="00324412" w:rsidP="0001642C">
            <w:pPr>
              <w:pStyle w:val="ListParagraph"/>
              <w:numPr>
                <w:ilvl w:val="0"/>
                <w:numId w:val="4"/>
              </w:numPr>
              <w:rPr>
                <w:rFonts w:cstheme="minorHAnsi"/>
                <w:bCs/>
              </w:rPr>
            </w:pPr>
            <w:r w:rsidRPr="00324412">
              <w:rPr>
                <w:rFonts w:cstheme="minorHAnsi"/>
                <w:bCs/>
              </w:rPr>
              <w:t>Working to access NHS data has been challenging as well</w:t>
            </w:r>
            <w:r>
              <w:rPr>
                <w:rFonts w:cstheme="minorHAnsi"/>
                <w:bCs/>
              </w:rPr>
              <w:t>. U</w:t>
            </w:r>
            <w:r w:rsidRPr="00324412">
              <w:rPr>
                <w:rFonts w:cstheme="minorHAnsi"/>
                <w:bCs/>
              </w:rPr>
              <w:t xml:space="preserve">sing consented UK Biobank participants the team was able to manually access electronic medical records. However, the NHS can be resistant to allowing new natural language processing programmes into their IT systems. This reluctance has meant that the team was unable to extend </w:t>
            </w:r>
            <w:r w:rsidR="0001642C">
              <w:rPr>
                <w:rFonts w:cstheme="minorHAnsi"/>
                <w:bCs/>
              </w:rPr>
              <w:t xml:space="preserve">the work </w:t>
            </w:r>
            <w:r w:rsidRPr="00324412">
              <w:rPr>
                <w:rFonts w:cstheme="minorHAnsi"/>
                <w:bCs/>
              </w:rPr>
              <w:t>looking at free text using scalable NLP techniques</w:t>
            </w:r>
            <w:r w:rsidR="0001642C">
              <w:rPr>
                <w:rFonts w:cstheme="minorHAnsi"/>
                <w:bCs/>
              </w:rPr>
              <w:t>.</w:t>
            </w:r>
          </w:p>
        </w:tc>
      </w:tr>
      <w:tr w:rsidR="00967422" w:rsidRPr="00A75597" w14:paraId="02E82FBA" w14:textId="77777777" w:rsidTr="00E40327">
        <w:tc>
          <w:tcPr>
            <w:tcW w:w="9016" w:type="dxa"/>
            <w:shd w:val="clear" w:color="auto" w:fill="D0CECE" w:themeFill="background2" w:themeFillShade="E6"/>
          </w:tcPr>
          <w:p w14:paraId="354A6A99" w14:textId="77777777" w:rsidR="00967422" w:rsidRDefault="00967422" w:rsidP="00907CBB">
            <w:pPr>
              <w:rPr>
                <w:rFonts w:cstheme="minorHAnsi"/>
              </w:rPr>
            </w:pPr>
            <w:r w:rsidRPr="00A75597">
              <w:rPr>
                <w:rFonts w:cstheme="minorHAnsi"/>
                <w:b/>
              </w:rPr>
              <w:t>Other:</w:t>
            </w:r>
          </w:p>
        </w:tc>
      </w:tr>
      <w:tr w:rsidR="00967422" w:rsidRPr="00A75597" w14:paraId="06D7AC2B" w14:textId="77777777" w:rsidTr="004D509F">
        <w:tc>
          <w:tcPr>
            <w:tcW w:w="9016" w:type="dxa"/>
          </w:tcPr>
          <w:p w14:paraId="3FA70E2D" w14:textId="318A825E" w:rsidR="00967422" w:rsidRPr="00A75597" w:rsidRDefault="00497CAC" w:rsidP="00BE5091">
            <w:pPr>
              <w:rPr>
                <w:rFonts w:cstheme="minorHAnsi"/>
              </w:rPr>
            </w:pPr>
            <w:r>
              <w:rPr>
                <w:rFonts w:cstheme="minorHAnsi"/>
              </w:rPr>
              <w:t>Report completed 3 December 2020</w:t>
            </w:r>
          </w:p>
        </w:tc>
      </w:tr>
    </w:tbl>
    <w:p w14:paraId="1AF49C9B" w14:textId="77777777" w:rsidR="00417C37" w:rsidRDefault="00417C37">
      <w:pPr>
        <w:rPr>
          <w:rFonts w:cstheme="minorHAnsi"/>
          <w:noProof/>
          <w:lang w:eastAsia="en-GB"/>
        </w:rPr>
      </w:pPr>
    </w:p>
    <w:p w14:paraId="35289584" w14:textId="77777777" w:rsidR="00FB3C09" w:rsidRDefault="00FB3C09">
      <w:pPr>
        <w:rPr>
          <w:rFonts w:cstheme="minorHAnsi"/>
          <w:noProof/>
          <w:lang w:eastAsia="en-GB"/>
        </w:rPr>
      </w:pPr>
    </w:p>
    <w:p w14:paraId="70FCAD0F" w14:textId="77777777" w:rsidR="004A64A2" w:rsidRPr="00A75597" w:rsidRDefault="004A64A2" w:rsidP="00776D9C">
      <w:pPr>
        <w:rPr>
          <w:rFonts w:cstheme="minorHAnsi"/>
          <w:noProof/>
          <w:lang w:eastAsia="en-GB"/>
        </w:rPr>
      </w:pPr>
    </w:p>
    <w:sectPr w:rsidR="004A64A2" w:rsidRPr="00A75597" w:rsidSect="00D4149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71A5"/>
    <w:multiLevelType w:val="hybridMultilevel"/>
    <w:tmpl w:val="EC40EE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6345A3"/>
    <w:multiLevelType w:val="multilevel"/>
    <w:tmpl w:val="634E01E0"/>
    <w:lvl w:ilvl="0">
      <w:numFmt w:val="bullet"/>
      <w:lvlText w:val="·"/>
      <w:lvlJc w:val="left"/>
      <w:pPr>
        <w:tabs>
          <w:tab w:val="left" w:pos="360"/>
        </w:tabs>
      </w:pPr>
      <w:rPr>
        <w:rFonts w:ascii="Symbol" w:eastAsia="Symbol" w:hAnsi="Symbol"/>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DA6E55"/>
    <w:multiLevelType w:val="multilevel"/>
    <w:tmpl w:val="E7703080"/>
    <w:lvl w:ilvl="0">
      <w:numFmt w:val="bullet"/>
      <w:lvlText w:val="·"/>
      <w:lvlJc w:val="left"/>
      <w:pPr>
        <w:tabs>
          <w:tab w:val="left" w:pos="360"/>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E272AE"/>
    <w:multiLevelType w:val="hybridMultilevel"/>
    <w:tmpl w:val="DE9EFB26"/>
    <w:lvl w:ilvl="0" w:tplc="08090001">
      <w:start w:val="1"/>
      <w:numFmt w:val="bullet"/>
      <w:lvlText w:val=""/>
      <w:lvlJc w:val="left"/>
      <w:pPr>
        <w:ind w:left="504" w:hanging="360"/>
      </w:pPr>
      <w:rPr>
        <w:rFonts w:ascii="Symbol" w:hAnsi="Symbol"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 w15:restartNumberingAfterBreak="0">
    <w:nsid w:val="293F02E9"/>
    <w:multiLevelType w:val="hybridMultilevel"/>
    <w:tmpl w:val="0A34E59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0545AA8"/>
    <w:multiLevelType w:val="hybridMultilevel"/>
    <w:tmpl w:val="56A09AB8"/>
    <w:lvl w:ilvl="0" w:tplc="08090001">
      <w:start w:val="1"/>
      <w:numFmt w:val="bullet"/>
      <w:lvlText w:val=""/>
      <w:lvlJc w:val="left"/>
      <w:pPr>
        <w:ind w:left="504" w:hanging="360"/>
      </w:pPr>
      <w:rPr>
        <w:rFonts w:ascii="Symbol" w:hAnsi="Symbol"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51986ED7"/>
    <w:multiLevelType w:val="hybridMultilevel"/>
    <w:tmpl w:val="DE84F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7A6484"/>
    <w:multiLevelType w:val="hybridMultilevel"/>
    <w:tmpl w:val="D908837E"/>
    <w:lvl w:ilvl="0" w:tplc="3AEE49E8">
      <w:start w:val="1"/>
      <w:numFmt w:val="decimal"/>
      <w:lvlText w:val="%1."/>
      <w:lvlJc w:val="left"/>
      <w:pPr>
        <w:ind w:left="504"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C4F2A70"/>
    <w:multiLevelType w:val="hybridMultilevel"/>
    <w:tmpl w:val="8E8AD7AC"/>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num w:numId="1">
    <w:abstractNumId w:val="4"/>
  </w:num>
  <w:num w:numId="2">
    <w:abstractNumId w:val="7"/>
  </w:num>
  <w:num w:numId="3">
    <w:abstractNumId w:val="0"/>
  </w:num>
  <w:num w:numId="4">
    <w:abstractNumId w:val="6"/>
  </w:num>
  <w:num w:numId="5">
    <w:abstractNumId w:val="1"/>
  </w:num>
  <w:num w:numId="6">
    <w:abstractNumId w:val="2"/>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37"/>
    <w:rsid w:val="0001642C"/>
    <w:rsid w:val="0002636F"/>
    <w:rsid w:val="00030CEC"/>
    <w:rsid w:val="00053C37"/>
    <w:rsid w:val="00065143"/>
    <w:rsid w:val="000A13BC"/>
    <w:rsid w:val="00132A30"/>
    <w:rsid w:val="00143F6F"/>
    <w:rsid w:val="00165615"/>
    <w:rsid w:val="001B5480"/>
    <w:rsid w:val="001D453D"/>
    <w:rsid w:val="00212B3E"/>
    <w:rsid w:val="00262966"/>
    <w:rsid w:val="00267A03"/>
    <w:rsid w:val="0027513E"/>
    <w:rsid w:val="002E362C"/>
    <w:rsid w:val="00324412"/>
    <w:rsid w:val="00335192"/>
    <w:rsid w:val="003C5146"/>
    <w:rsid w:val="00415E03"/>
    <w:rsid w:val="00417C37"/>
    <w:rsid w:val="00423823"/>
    <w:rsid w:val="00465006"/>
    <w:rsid w:val="00497CAC"/>
    <w:rsid w:val="004A3CE8"/>
    <w:rsid w:val="004A4FB8"/>
    <w:rsid w:val="004A64A2"/>
    <w:rsid w:val="004C5D2E"/>
    <w:rsid w:val="004F391C"/>
    <w:rsid w:val="005361D0"/>
    <w:rsid w:val="005E2B22"/>
    <w:rsid w:val="00752955"/>
    <w:rsid w:val="0075763A"/>
    <w:rsid w:val="00776D9C"/>
    <w:rsid w:val="00782262"/>
    <w:rsid w:val="0079713C"/>
    <w:rsid w:val="00907CBB"/>
    <w:rsid w:val="0092658D"/>
    <w:rsid w:val="00967422"/>
    <w:rsid w:val="009A0D0C"/>
    <w:rsid w:val="00A328A5"/>
    <w:rsid w:val="00A75597"/>
    <w:rsid w:val="00A95E37"/>
    <w:rsid w:val="00AE085F"/>
    <w:rsid w:val="00B226AE"/>
    <w:rsid w:val="00B75528"/>
    <w:rsid w:val="00BC19EA"/>
    <w:rsid w:val="00BE5091"/>
    <w:rsid w:val="00C266C8"/>
    <w:rsid w:val="00C26C94"/>
    <w:rsid w:val="00C45920"/>
    <w:rsid w:val="00CB7353"/>
    <w:rsid w:val="00CC5896"/>
    <w:rsid w:val="00CF0FA1"/>
    <w:rsid w:val="00CF6C94"/>
    <w:rsid w:val="00D41490"/>
    <w:rsid w:val="00D45A11"/>
    <w:rsid w:val="00DC7BE5"/>
    <w:rsid w:val="00E519FD"/>
    <w:rsid w:val="00FB3C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A824C6"/>
  <w15:docId w15:val="{8D50A132-B784-4520-8098-9D3D94A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6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6C8"/>
    <w:rPr>
      <w:rFonts w:ascii="Segoe UI" w:hAnsi="Segoe UI" w:cs="Segoe UI"/>
      <w:sz w:val="18"/>
      <w:szCs w:val="18"/>
    </w:rPr>
  </w:style>
  <w:style w:type="paragraph" w:styleId="ListParagraph">
    <w:name w:val="List Paragraph"/>
    <w:basedOn w:val="Normal"/>
    <w:link w:val="ListParagraphChar"/>
    <w:uiPriority w:val="34"/>
    <w:qFormat/>
    <w:rsid w:val="00AE085F"/>
    <w:pPr>
      <w:ind w:left="720"/>
      <w:contextualSpacing/>
    </w:pPr>
  </w:style>
  <w:style w:type="character" w:customStyle="1" w:styleId="ListParagraphChar">
    <w:name w:val="List Paragraph Char"/>
    <w:basedOn w:val="DefaultParagraphFont"/>
    <w:link w:val="ListParagraph"/>
    <w:uiPriority w:val="34"/>
    <w:rsid w:val="00AE085F"/>
  </w:style>
  <w:style w:type="character" w:styleId="CommentReference">
    <w:name w:val="annotation reference"/>
    <w:basedOn w:val="DefaultParagraphFont"/>
    <w:uiPriority w:val="99"/>
    <w:semiHidden/>
    <w:unhideWhenUsed/>
    <w:rsid w:val="0092658D"/>
    <w:rPr>
      <w:sz w:val="16"/>
      <w:szCs w:val="16"/>
    </w:rPr>
  </w:style>
  <w:style w:type="paragraph" w:styleId="CommentText">
    <w:name w:val="annotation text"/>
    <w:basedOn w:val="Normal"/>
    <w:link w:val="CommentTextChar"/>
    <w:uiPriority w:val="99"/>
    <w:semiHidden/>
    <w:unhideWhenUsed/>
    <w:rsid w:val="0092658D"/>
    <w:pPr>
      <w:spacing w:line="240" w:lineRule="auto"/>
    </w:pPr>
    <w:rPr>
      <w:sz w:val="20"/>
      <w:szCs w:val="20"/>
    </w:rPr>
  </w:style>
  <w:style w:type="character" w:customStyle="1" w:styleId="CommentTextChar">
    <w:name w:val="Comment Text Char"/>
    <w:basedOn w:val="DefaultParagraphFont"/>
    <w:link w:val="CommentText"/>
    <w:uiPriority w:val="99"/>
    <w:semiHidden/>
    <w:rsid w:val="0092658D"/>
    <w:rPr>
      <w:sz w:val="20"/>
      <w:szCs w:val="20"/>
    </w:rPr>
  </w:style>
  <w:style w:type="paragraph" w:styleId="CommentSubject">
    <w:name w:val="annotation subject"/>
    <w:basedOn w:val="CommentText"/>
    <w:next w:val="CommentText"/>
    <w:link w:val="CommentSubjectChar"/>
    <w:uiPriority w:val="99"/>
    <w:semiHidden/>
    <w:unhideWhenUsed/>
    <w:rsid w:val="0092658D"/>
    <w:rPr>
      <w:b/>
      <w:bCs/>
    </w:rPr>
  </w:style>
  <w:style w:type="character" w:customStyle="1" w:styleId="CommentSubjectChar">
    <w:name w:val="Comment Subject Char"/>
    <w:basedOn w:val="CommentTextChar"/>
    <w:link w:val="CommentSubject"/>
    <w:uiPriority w:val="99"/>
    <w:semiHidden/>
    <w:rsid w:val="0092658D"/>
    <w:rPr>
      <w:b/>
      <w:bCs/>
      <w:sz w:val="20"/>
      <w:szCs w:val="20"/>
    </w:rPr>
  </w:style>
  <w:style w:type="character" w:styleId="Hyperlink">
    <w:name w:val="Hyperlink"/>
    <w:basedOn w:val="DefaultParagraphFont"/>
    <w:uiPriority w:val="99"/>
    <w:unhideWhenUsed/>
    <w:rsid w:val="003244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57573">
      <w:bodyDiv w:val="1"/>
      <w:marLeft w:val="0"/>
      <w:marRight w:val="0"/>
      <w:marTop w:val="0"/>
      <w:marBottom w:val="0"/>
      <w:divBdr>
        <w:top w:val="none" w:sz="0" w:space="0" w:color="auto"/>
        <w:left w:val="none" w:sz="0" w:space="0" w:color="auto"/>
        <w:bottom w:val="none" w:sz="0" w:space="0" w:color="auto"/>
        <w:right w:val="none" w:sz="0" w:space="0" w:color="auto"/>
      </w:divBdr>
    </w:div>
    <w:div w:id="908537841">
      <w:bodyDiv w:val="1"/>
      <w:marLeft w:val="0"/>
      <w:marRight w:val="0"/>
      <w:marTop w:val="0"/>
      <w:marBottom w:val="0"/>
      <w:divBdr>
        <w:top w:val="none" w:sz="0" w:space="0" w:color="auto"/>
        <w:left w:val="none" w:sz="0" w:space="0" w:color="auto"/>
        <w:bottom w:val="none" w:sz="0" w:space="0" w:color="auto"/>
        <w:right w:val="none" w:sz="0" w:space="0" w:color="auto"/>
      </w:divBdr>
    </w:div>
    <w:div w:id="1007485384">
      <w:bodyDiv w:val="1"/>
      <w:marLeft w:val="0"/>
      <w:marRight w:val="0"/>
      <w:marTop w:val="0"/>
      <w:marBottom w:val="0"/>
      <w:divBdr>
        <w:top w:val="none" w:sz="0" w:space="0" w:color="auto"/>
        <w:left w:val="none" w:sz="0" w:space="0" w:color="auto"/>
        <w:bottom w:val="none" w:sz="0" w:space="0" w:color="auto"/>
        <w:right w:val="none" w:sz="0" w:space="0" w:color="auto"/>
      </w:divBdr>
    </w:div>
    <w:div w:id="1569610595">
      <w:bodyDiv w:val="1"/>
      <w:marLeft w:val="0"/>
      <w:marRight w:val="0"/>
      <w:marTop w:val="0"/>
      <w:marBottom w:val="0"/>
      <w:divBdr>
        <w:top w:val="none" w:sz="0" w:space="0" w:color="auto"/>
        <w:left w:val="none" w:sz="0" w:space="0" w:color="auto"/>
        <w:bottom w:val="none" w:sz="0" w:space="0" w:color="auto"/>
        <w:right w:val="none" w:sz="0" w:space="0" w:color="auto"/>
      </w:divBdr>
    </w:div>
    <w:div w:id="1999573057">
      <w:bodyDiv w:val="1"/>
      <w:marLeft w:val="0"/>
      <w:marRight w:val="0"/>
      <w:marTop w:val="0"/>
      <w:marBottom w:val="0"/>
      <w:divBdr>
        <w:top w:val="none" w:sz="0" w:space="0" w:color="auto"/>
        <w:left w:val="none" w:sz="0" w:space="0" w:color="auto"/>
        <w:bottom w:val="none" w:sz="0" w:space="0" w:color="auto"/>
        <w:right w:val="none" w:sz="0" w:space="0" w:color="auto"/>
      </w:divBdr>
    </w:div>
    <w:div w:id="20373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371/journal.pone.017263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ukbiobank.ac.uk/"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biobank.ndph.ox.ac.uk/showcase/showcase/docs/alg_outcome_mnd.pdf" TargetMode="External"/><Relationship Id="rId5" Type="http://schemas.openxmlformats.org/officeDocument/2006/relationships/webSettings" Target="webSettings.xml"/><Relationship Id="rId10" Type="http://schemas.openxmlformats.org/officeDocument/2006/relationships/hyperlink" Target="https://biobank.ndph.ox.ac.uk/showcase/showcase/docs/alg_outcome_pdp.pdf" TargetMode="External"/><Relationship Id="rId4" Type="http://schemas.openxmlformats.org/officeDocument/2006/relationships/settings" Target="settings.xml"/><Relationship Id="rId9" Type="http://schemas.openxmlformats.org/officeDocument/2006/relationships/hyperlink" Target="https://doi.org/10.23889/ijpds.v5i1.1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1F114-164E-47ED-B9A0-D07FE46F2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8</Pages>
  <Words>2138</Words>
  <Characters>12188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Reid</dc:creator>
  <cp:keywords/>
  <dc:description/>
  <cp:lastModifiedBy>Pamela Reid</cp:lastModifiedBy>
  <cp:revision>12</cp:revision>
  <cp:lastPrinted>2020-02-10T09:36:00Z</cp:lastPrinted>
  <dcterms:created xsi:type="dcterms:W3CDTF">2020-12-03T09:29:00Z</dcterms:created>
  <dcterms:modified xsi:type="dcterms:W3CDTF">2020-12-08T10:48:00Z</dcterms:modified>
</cp:coreProperties>
</file>